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964" w:rsidRPr="00425034" w:rsidRDefault="00783EBA" w:rsidP="00186964">
      <w:pPr>
        <w:spacing w:line="276" w:lineRule="auto"/>
        <w:ind w:left="32"/>
        <w:jc w:val="center"/>
        <w:rPr>
          <w:b/>
          <w:bCs/>
          <w:smallCaps/>
          <w:lang w:eastAsia="en-US"/>
        </w:rPr>
      </w:pPr>
      <w:bookmarkStart w:id="0" w:name="_GoBack"/>
      <w:bookmarkEnd w:id="0"/>
      <w:r>
        <w:rPr>
          <w:b/>
          <w:bCs/>
          <w:smallCaps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-189230</wp:posOffset>
            </wp:positionV>
            <wp:extent cx="1482090" cy="897890"/>
            <wp:effectExtent l="0" t="0" r="0" b="0"/>
            <wp:wrapNone/>
            <wp:docPr id="6" name="Image 2" descr="Logo-INSA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INSAE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964" w:rsidRPr="00425034">
        <w:rPr>
          <w:b/>
          <w:bCs/>
          <w:smallCaps/>
          <w:lang w:eastAsia="en-US"/>
        </w:rPr>
        <w:t>RÉPUBLIQUE DU BÉNIN</w:t>
      </w:r>
    </w:p>
    <w:p w:rsidR="00186964" w:rsidRPr="00271D20" w:rsidRDefault="00186964" w:rsidP="00186964">
      <w:pPr>
        <w:spacing w:line="276" w:lineRule="auto"/>
        <w:ind w:left="32"/>
        <w:jc w:val="center"/>
        <w:rPr>
          <w:rFonts w:ascii="Arial" w:hAnsi="Arial" w:cs="Arial"/>
          <w:b/>
          <w:bCs/>
          <w:smallCaps/>
          <w:lang w:eastAsia="en-US"/>
        </w:rPr>
      </w:pPr>
      <w:r w:rsidRPr="00425034">
        <w:rPr>
          <w:b/>
          <w:bCs/>
          <w:smallCaps/>
          <w:lang w:eastAsia="en-US"/>
        </w:rPr>
        <w:t>≈≈≈≈≈≈≈</w:t>
      </w:r>
    </w:p>
    <w:p w:rsidR="00186964" w:rsidRPr="00425034" w:rsidRDefault="00186964" w:rsidP="00186964">
      <w:pPr>
        <w:spacing w:line="276" w:lineRule="auto"/>
        <w:ind w:left="32"/>
        <w:jc w:val="center"/>
        <w:rPr>
          <w:smallCaps/>
          <w:lang w:eastAsia="en-US"/>
        </w:rPr>
      </w:pPr>
      <w:r w:rsidRPr="00425034">
        <w:rPr>
          <w:smallCaps/>
          <w:lang w:eastAsia="en-US"/>
        </w:rPr>
        <w:t>MINISTERE DU PLAN ET DU DEVELOPPEMENT</w:t>
      </w:r>
    </w:p>
    <w:p w:rsidR="00186964" w:rsidRPr="00425034" w:rsidRDefault="00186964" w:rsidP="00186964">
      <w:pPr>
        <w:spacing w:line="276" w:lineRule="auto"/>
        <w:ind w:left="32"/>
        <w:jc w:val="center"/>
        <w:rPr>
          <w:smallCaps/>
          <w:lang w:eastAsia="en-US"/>
        </w:rPr>
      </w:pPr>
      <w:r w:rsidRPr="00425034">
        <w:rPr>
          <w:smallCaps/>
          <w:lang w:eastAsia="en-US"/>
        </w:rPr>
        <w:t>≈≈≈≈≈≈≈</w:t>
      </w:r>
    </w:p>
    <w:p w:rsidR="00186964" w:rsidRPr="00425034" w:rsidRDefault="00186964" w:rsidP="00186964">
      <w:pPr>
        <w:spacing w:line="276" w:lineRule="auto"/>
        <w:ind w:left="32"/>
        <w:jc w:val="center"/>
        <w:rPr>
          <w:smallCaps/>
          <w:lang w:eastAsia="en-US"/>
        </w:rPr>
      </w:pPr>
      <w:r w:rsidRPr="00425034">
        <w:rPr>
          <w:smallCaps/>
          <w:lang w:eastAsia="en-US"/>
        </w:rPr>
        <w:t>INSTITUT NATIONAL DE LA STATISTIQUE ET DE L’ANALYSE ECONOMIQUE</w:t>
      </w:r>
    </w:p>
    <w:p w:rsidR="00186964" w:rsidRDefault="00783EBA" w:rsidP="00186964">
      <w:pPr>
        <w:jc w:val="center"/>
        <w:outlineLvl w:val="0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30480</wp:posOffset>
                </wp:positionV>
                <wp:extent cx="5707380" cy="469900"/>
                <wp:effectExtent l="0" t="0" r="7620" b="635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03" w:rsidRDefault="00040503" w:rsidP="001869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 w:rsidRPr="00BE4A12">
                              <w:rPr>
                                <w:b/>
                              </w:rPr>
                              <w:t>Indice Harmonisé des Prix à la Consommation</w:t>
                            </w:r>
                          </w:p>
                          <w:p w:rsidR="00040503" w:rsidRPr="00BE4A12" w:rsidRDefault="00040503" w:rsidP="0018696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National-octobre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.25pt;margin-top:2.4pt;width:449.4pt;height:3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">
                <v:textbox>
                  <w:txbxContent>
                    <w:p w:rsidR="00040503" w:rsidRDefault="00040503" w:rsidP="001869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 w:rsidRPr="00BE4A12">
                        <w:rPr>
                          <w:b/>
                        </w:rPr>
                        <w:t>Indice Harmonisé des Prix à la Consommation</w:t>
                      </w:r>
                    </w:p>
                    <w:p w:rsidR="00040503" w:rsidRPr="00BE4A12" w:rsidRDefault="00040503" w:rsidP="0018696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National-octobre 2019</w:t>
                      </w:r>
                    </w:p>
                  </w:txbxContent>
                </v:textbox>
              </v:shape>
            </w:pict>
          </mc:Fallback>
        </mc:AlternateContent>
      </w:r>
    </w:p>
    <w:p w:rsidR="00810BA2" w:rsidRDefault="00810BA2" w:rsidP="008B15F4"/>
    <w:p w:rsidR="00810BA2" w:rsidRDefault="00810BA2" w:rsidP="00810BA2"/>
    <w:p w:rsidR="00810BA2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center"/>
        <w:outlineLvl w:val="0"/>
        <w:rPr>
          <w:b/>
          <w:bCs/>
          <w:sz w:val="19"/>
          <w:szCs w:val="19"/>
        </w:rPr>
      </w:pPr>
      <w:r>
        <w:tab/>
      </w:r>
      <w:r>
        <w:rPr>
          <w:b/>
          <w:bCs/>
          <w:sz w:val="19"/>
          <w:szCs w:val="19"/>
        </w:rPr>
        <w:t>AVERTISSEMENT</w:t>
      </w:r>
    </w:p>
    <w:p w:rsidR="00FB15DE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L’INSAE a le plaisir de mettre à la disposition des utilisateurs l’Indice Harmonisé des Prix à la Consommation</w:t>
      </w:r>
      <w:r w:rsidR="003178FE">
        <w:rPr>
          <w:sz w:val="19"/>
          <w:szCs w:val="19"/>
        </w:rPr>
        <w:t xml:space="preserve">, </w:t>
      </w:r>
      <w:r w:rsidR="004546FD">
        <w:rPr>
          <w:sz w:val="19"/>
          <w:szCs w:val="19"/>
        </w:rPr>
        <w:t xml:space="preserve">(IHPC). Cet indice base 100, année 2014 mesure l’évolution </w:t>
      </w:r>
      <w:r w:rsidR="0098474C">
        <w:rPr>
          <w:sz w:val="19"/>
          <w:szCs w:val="19"/>
        </w:rPr>
        <w:t>des prix à la consommation au</w:t>
      </w:r>
      <w:r w:rsidR="007170A6">
        <w:rPr>
          <w:sz w:val="19"/>
          <w:szCs w:val="19"/>
        </w:rPr>
        <w:t xml:space="preserve"> </w:t>
      </w:r>
      <w:r w:rsidR="0098474C">
        <w:rPr>
          <w:sz w:val="19"/>
          <w:szCs w:val="19"/>
        </w:rPr>
        <w:t>niveau national.</w:t>
      </w:r>
    </w:p>
    <w:p w:rsidR="00810BA2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L’IHPC a pour population de référence l’ensemble des ménages africains d</w:t>
      </w:r>
      <w:r w:rsidR="00BF5D8F">
        <w:rPr>
          <w:sz w:val="19"/>
          <w:szCs w:val="19"/>
        </w:rPr>
        <w:t>u Bénin à travers cinq (0</w:t>
      </w:r>
      <w:r w:rsidR="00CA470C">
        <w:rPr>
          <w:sz w:val="19"/>
          <w:szCs w:val="19"/>
        </w:rPr>
        <w:t xml:space="preserve">5) grandes </w:t>
      </w:r>
      <w:r w:rsidR="00487676">
        <w:rPr>
          <w:sz w:val="19"/>
          <w:szCs w:val="19"/>
        </w:rPr>
        <w:t xml:space="preserve">régions </w:t>
      </w:r>
      <w:r w:rsidR="00CA470C">
        <w:rPr>
          <w:sz w:val="19"/>
          <w:szCs w:val="19"/>
        </w:rPr>
        <w:t xml:space="preserve">de </w:t>
      </w:r>
      <w:r w:rsidR="0030453C">
        <w:rPr>
          <w:sz w:val="19"/>
          <w:szCs w:val="19"/>
        </w:rPr>
        <w:t>production</w:t>
      </w:r>
      <w:r w:rsidR="007170A6">
        <w:rPr>
          <w:sz w:val="19"/>
          <w:szCs w:val="19"/>
        </w:rPr>
        <w:t xml:space="preserve"> </w:t>
      </w:r>
      <w:r w:rsidR="008342E1">
        <w:rPr>
          <w:sz w:val="19"/>
          <w:szCs w:val="19"/>
        </w:rPr>
        <w:t xml:space="preserve">à savoir </w:t>
      </w:r>
      <w:r w:rsidR="00AB2DFD">
        <w:rPr>
          <w:sz w:val="19"/>
          <w:szCs w:val="19"/>
        </w:rPr>
        <w:t>S</w:t>
      </w:r>
      <w:r w:rsidR="008342E1">
        <w:rPr>
          <w:sz w:val="19"/>
          <w:szCs w:val="19"/>
        </w:rPr>
        <w:t>ud ouest (</w:t>
      </w:r>
      <w:r w:rsidR="00A36228">
        <w:rPr>
          <w:sz w:val="19"/>
          <w:szCs w:val="19"/>
        </w:rPr>
        <w:t xml:space="preserve">Littoral, Atlantique, Mono et Couffo), </w:t>
      </w:r>
      <w:r w:rsidR="005C2E7A">
        <w:rPr>
          <w:sz w:val="19"/>
          <w:szCs w:val="19"/>
        </w:rPr>
        <w:t>Sud</w:t>
      </w:r>
      <w:r w:rsidR="00C00F57">
        <w:rPr>
          <w:sz w:val="19"/>
          <w:szCs w:val="19"/>
        </w:rPr>
        <w:t xml:space="preserve"> est (Ouémé-Plateau), </w:t>
      </w:r>
      <w:r w:rsidR="00AB2DFD">
        <w:rPr>
          <w:sz w:val="19"/>
          <w:szCs w:val="19"/>
        </w:rPr>
        <w:t>C</w:t>
      </w:r>
      <w:r w:rsidR="00C00F57">
        <w:rPr>
          <w:sz w:val="19"/>
          <w:szCs w:val="19"/>
        </w:rPr>
        <w:t>entre</w:t>
      </w:r>
      <w:r w:rsidR="00AB2DFD">
        <w:rPr>
          <w:sz w:val="19"/>
          <w:szCs w:val="19"/>
        </w:rPr>
        <w:t xml:space="preserve"> (Zou-Colline</w:t>
      </w:r>
      <w:r w:rsidR="00621931">
        <w:rPr>
          <w:sz w:val="19"/>
          <w:szCs w:val="19"/>
        </w:rPr>
        <w:t>s</w:t>
      </w:r>
      <w:r w:rsidR="00AB2DFD">
        <w:rPr>
          <w:sz w:val="19"/>
          <w:szCs w:val="19"/>
        </w:rPr>
        <w:t>), Nord est (Borgou-Alibori) et Nord ou</w:t>
      </w:r>
      <w:r w:rsidR="007F0C67">
        <w:rPr>
          <w:sz w:val="19"/>
          <w:szCs w:val="19"/>
        </w:rPr>
        <w:t>est (Atacora-Donga)</w:t>
      </w:r>
      <w:r w:rsidR="00487676">
        <w:rPr>
          <w:sz w:val="19"/>
          <w:szCs w:val="19"/>
        </w:rPr>
        <w:t>.</w:t>
      </w:r>
      <w:r w:rsidR="00605B09">
        <w:rPr>
          <w:sz w:val="19"/>
          <w:szCs w:val="19"/>
        </w:rPr>
        <w:t xml:space="preserve"> </w:t>
      </w:r>
      <w:r w:rsidR="007D57D8">
        <w:rPr>
          <w:sz w:val="19"/>
          <w:szCs w:val="19"/>
        </w:rPr>
        <w:t xml:space="preserve">Chaque zone est composée d’un milieu urbain et </w:t>
      </w:r>
      <w:r w:rsidR="008E782B">
        <w:rPr>
          <w:sz w:val="19"/>
          <w:szCs w:val="19"/>
        </w:rPr>
        <w:t>celui du</w:t>
      </w:r>
      <w:r w:rsidR="007D57D8">
        <w:rPr>
          <w:sz w:val="19"/>
          <w:szCs w:val="19"/>
        </w:rPr>
        <w:t xml:space="preserve"> rural. </w:t>
      </w:r>
      <w:r w:rsidR="007F0C67">
        <w:rPr>
          <w:sz w:val="19"/>
          <w:szCs w:val="19"/>
        </w:rPr>
        <w:t xml:space="preserve">L’indice national est la moyenne pondérée des indices des cinq régions. </w:t>
      </w:r>
      <w:r>
        <w:rPr>
          <w:sz w:val="19"/>
          <w:szCs w:val="19"/>
        </w:rPr>
        <w:t xml:space="preserve">Le panier de la ménagère comprend 626 variétés suivies dans </w:t>
      </w:r>
      <w:r w:rsidR="00A15A9F" w:rsidRPr="00A15A9F">
        <w:rPr>
          <w:sz w:val="19"/>
          <w:szCs w:val="19"/>
        </w:rPr>
        <w:t>1</w:t>
      </w:r>
      <w:r w:rsidR="007170A6">
        <w:rPr>
          <w:sz w:val="19"/>
          <w:szCs w:val="19"/>
        </w:rPr>
        <w:t> </w:t>
      </w:r>
      <w:r w:rsidR="00A15A9F" w:rsidRPr="00A15A9F">
        <w:rPr>
          <w:sz w:val="19"/>
          <w:szCs w:val="19"/>
        </w:rPr>
        <w:t>889</w:t>
      </w:r>
      <w:r w:rsidR="007170A6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points d’observation. Plus de </w:t>
      </w:r>
      <w:r w:rsidR="00A15A9F">
        <w:rPr>
          <w:sz w:val="19"/>
          <w:szCs w:val="19"/>
        </w:rPr>
        <w:t>15</w:t>
      </w:r>
      <w:r w:rsidR="0082379B">
        <w:rPr>
          <w:sz w:val="19"/>
          <w:szCs w:val="19"/>
        </w:rPr>
        <w:t> </w:t>
      </w:r>
      <w:r w:rsidR="00A15A9F">
        <w:rPr>
          <w:sz w:val="19"/>
          <w:szCs w:val="19"/>
        </w:rPr>
        <w:t>143</w:t>
      </w:r>
      <w:r>
        <w:rPr>
          <w:sz w:val="19"/>
          <w:szCs w:val="19"/>
        </w:rPr>
        <w:t xml:space="preserve"> relevés de prix sont effectués chaque mois pa</w:t>
      </w:r>
      <w:r w:rsidR="00946EFD">
        <w:rPr>
          <w:sz w:val="19"/>
          <w:szCs w:val="19"/>
        </w:rPr>
        <w:t>r les enquêteurs de l’INSAE. L</w:t>
      </w:r>
      <w:r>
        <w:rPr>
          <w:sz w:val="19"/>
          <w:szCs w:val="19"/>
        </w:rPr>
        <w:t>es pondérations de l’indice proviennent d’une enquête sur les dépenses des ménages réalisée en 20</w:t>
      </w:r>
      <w:r w:rsidR="006D4118">
        <w:rPr>
          <w:sz w:val="19"/>
          <w:szCs w:val="19"/>
        </w:rPr>
        <w:t>11 (EMICoV 2011)</w:t>
      </w:r>
      <w:r>
        <w:rPr>
          <w:sz w:val="19"/>
          <w:szCs w:val="19"/>
        </w:rPr>
        <w:t>.</w:t>
      </w:r>
    </w:p>
    <w:p w:rsidR="00B02550" w:rsidRDefault="00B02550" w:rsidP="00D84986">
      <w:pPr>
        <w:spacing w:line="360" w:lineRule="auto"/>
        <w:rPr>
          <w:b/>
          <w:bCs/>
          <w:i/>
          <w:iCs/>
          <w:sz w:val="23"/>
          <w:szCs w:val="23"/>
        </w:rPr>
      </w:pPr>
    </w:p>
    <w:p w:rsidR="00D84986" w:rsidRPr="00892DF8" w:rsidRDefault="00D84986" w:rsidP="00D84986">
      <w:pPr>
        <w:spacing w:line="360" w:lineRule="auto"/>
        <w:rPr>
          <w:b/>
          <w:bCs/>
          <w:i/>
          <w:iCs/>
          <w:sz w:val="23"/>
          <w:szCs w:val="23"/>
        </w:rPr>
      </w:pPr>
      <w:r w:rsidRPr="00892DF8">
        <w:rPr>
          <w:b/>
          <w:bCs/>
          <w:i/>
          <w:iCs/>
          <w:sz w:val="23"/>
          <w:szCs w:val="23"/>
        </w:rPr>
        <w:t>IHPC suivant les fonctions</w:t>
      </w:r>
    </w:p>
    <w:p w:rsidR="00D84986" w:rsidRPr="00E2556E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L’Indice Harmonisé des Prix à la Consommation du</w:t>
      </w:r>
      <w:r>
        <w:rPr>
          <w:bCs/>
          <w:i/>
          <w:iCs/>
          <w:sz w:val="23"/>
          <w:szCs w:val="23"/>
        </w:rPr>
        <w:t xml:space="preserve"> mois</w:t>
      </w:r>
      <w:r w:rsidRPr="00E2556E">
        <w:rPr>
          <w:bCs/>
          <w:i/>
          <w:iCs/>
          <w:sz w:val="23"/>
          <w:szCs w:val="23"/>
        </w:rPr>
        <w:t xml:space="preserve"> d</w:t>
      </w:r>
      <w:r w:rsidR="001A214E">
        <w:rPr>
          <w:bCs/>
          <w:i/>
          <w:iCs/>
          <w:sz w:val="23"/>
          <w:szCs w:val="23"/>
        </w:rPr>
        <w:t>’octobre</w:t>
      </w:r>
      <w:r w:rsidR="00283A01">
        <w:rPr>
          <w:bCs/>
          <w:i/>
          <w:iCs/>
          <w:sz w:val="23"/>
          <w:szCs w:val="23"/>
        </w:rPr>
        <w:t xml:space="preserve"> </w:t>
      </w:r>
      <w:r>
        <w:rPr>
          <w:bCs/>
          <w:i/>
          <w:iCs/>
          <w:sz w:val="23"/>
          <w:szCs w:val="23"/>
        </w:rPr>
        <w:t>201</w:t>
      </w:r>
      <w:r w:rsidR="00DD1E05">
        <w:rPr>
          <w:bCs/>
          <w:i/>
          <w:iCs/>
          <w:sz w:val="23"/>
          <w:szCs w:val="23"/>
        </w:rPr>
        <w:t>9</w:t>
      </w:r>
      <w:r>
        <w:rPr>
          <w:bCs/>
          <w:i/>
          <w:iCs/>
          <w:sz w:val="23"/>
          <w:szCs w:val="23"/>
        </w:rPr>
        <w:t xml:space="preserve"> est de </w:t>
      </w:r>
      <w:r w:rsidR="001A214E">
        <w:rPr>
          <w:bCs/>
          <w:i/>
          <w:iCs/>
          <w:sz w:val="23"/>
          <w:szCs w:val="23"/>
        </w:rPr>
        <w:t>100,5</w:t>
      </w:r>
      <w:r w:rsidR="00E26573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 xml:space="preserve">contre </w:t>
      </w:r>
      <w:r w:rsidR="001A214E">
        <w:rPr>
          <w:bCs/>
          <w:i/>
          <w:iCs/>
          <w:sz w:val="23"/>
          <w:szCs w:val="23"/>
        </w:rPr>
        <w:t xml:space="preserve">99,7 </w:t>
      </w:r>
      <w:r w:rsidR="002311A6">
        <w:rPr>
          <w:bCs/>
          <w:i/>
          <w:iCs/>
          <w:sz w:val="23"/>
          <w:szCs w:val="23"/>
        </w:rPr>
        <w:t>un mois plus tôt</w:t>
      </w:r>
      <w:r w:rsidRPr="00E2556E">
        <w:rPr>
          <w:bCs/>
          <w:i/>
          <w:iCs/>
          <w:sz w:val="23"/>
          <w:szCs w:val="23"/>
        </w:rPr>
        <w:t xml:space="preserve">, soit </w:t>
      </w:r>
      <w:r>
        <w:rPr>
          <w:bCs/>
          <w:i/>
          <w:iCs/>
          <w:sz w:val="23"/>
          <w:szCs w:val="23"/>
        </w:rPr>
        <w:t>une</w:t>
      </w:r>
      <w:r w:rsidRPr="00E2556E">
        <w:rPr>
          <w:bCs/>
          <w:i/>
          <w:iCs/>
          <w:sz w:val="23"/>
          <w:szCs w:val="23"/>
        </w:rPr>
        <w:t xml:space="preserve"> variation </w:t>
      </w:r>
      <w:r w:rsidR="00E423C9">
        <w:rPr>
          <w:bCs/>
          <w:i/>
          <w:iCs/>
          <w:sz w:val="23"/>
          <w:szCs w:val="23"/>
        </w:rPr>
        <w:t xml:space="preserve">mensuelle </w:t>
      </w:r>
      <w:r w:rsidRPr="00E2556E">
        <w:rPr>
          <w:bCs/>
          <w:i/>
          <w:iCs/>
          <w:sz w:val="23"/>
          <w:szCs w:val="23"/>
        </w:rPr>
        <w:t xml:space="preserve">de </w:t>
      </w:r>
      <w:r w:rsidR="001A214E">
        <w:rPr>
          <w:b/>
          <w:bCs/>
          <w:i/>
          <w:iCs/>
          <w:sz w:val="23"/>
          <w:szCs w:val="23"/>
        </w:rPr>
        <w:t>+0,8</w:t>
      </w:r>
      <w:r w:rsidRPr="00E6531A">
        <w:rPr>
          <w:b/>
          <w:bCs/>
          <w:i/>
          <w:iCs/>
          <w:sz w:val="23"/>
          <w:szCs w:val="23"/>
        </w:rPr>
        <w:t xml:space="preserve">%. </w:t>
      </w:r>
    </w:p>
    <w:p w:rsidR="00A323AC" w:rsidRPr="00E26573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</w:t>
      </w:r>
      <w:r w:rsidR="00F65DAC">
        <w:rPr>
          <w:bCs/>
          <w:i/>
          <w:iCs/>
          <w:sz w:val="23"/>
          <w:szCs w:val="23"/>
        </w:rPr>
        <w:t>’évoluti</w:t>
      </w:r>
      <w:r w:rsidR="00BD4791">
        <w:rPr>
          <w:bCs/>
          <w:i/>
          <w:iCs/>
          <w:sz w:val="23"/>
          <w:szCs w:val="23"/>
        </w:rPr>
        <w:t>o</w:t>
      </w:r>
      <w:r w:rsidR="00F65DAC">
        <w:rPr>
          <w:bCs/>
          <w:i/>
          <w:iCs/>
          <w:sz w:val="23"/>
          <w:szCs w:val="23"/>
        </w:rPr>
        <w:t>n o</w:t>
      </w:r>
      <w:r w:rsidR="001D6296">
        <w:rPr>
          <w:bCs/>
          <w:i/>
          <w:iCs/>
          <w:sz w:val="23"/>
          <w:szCs w:val="23"/>
        </w:rPr>
        <w:t>bservée</w:t>
      </w:r>
      <w:r w:rsidR="00BD4791">
        <w:rPr>
          <w:bCs/>
          <w:i/>
          <w:iCs/>
          <w:sz w:val="23"/>
          <w:szCs w:val="23"/>
        </w:rPr>
        <w:t xml:space="preserve"> résulte de </w:t>
      </w:r>
      <w:r w:rsidR="00206ABE">
        <w:rPr>
          <w:bCs/>
          <w:i/>
          <w:iCs/>
          <w:sz w:val="23"/>
          <w:szCs w:val="23"/>
        </w:rPr>
        <w:t>l</w:t>
      </w:r>
      <w:r w:rsidR="00283A01">
        <w:rPr>
          <w:bCs/>
          <w:i/>
          <w:iCs/>
          <w:sz w:val="23"/>
          <w:szCs w:val="23"/>
        </w:rPr>
        <w:t xml:space="preserve">a </w:t>
      </w:r>
      <w:r w:rsidR="001A214E">
        <w:rPr>
          <w:bCs/>
          <w:i/>
          <w:iCs/>
          <w:sz w:val="23"/>
          <w:szCs w:val="23"/>
        </w:rPr>
        <w:t>hausse</w:t>
      </w:r>
      <w:r w:rsidR="00283A01">
        <w:rPr>
          <w:bCs/>
          <w:i/>
          <w:iCs/>
          <w:sz w:val="23"/>
          <w:szCs w:val="23"/>
        </w:rPr>
        <w:t xml:space="preserve"> des prix des produits de</w:t>
      </w:r>
      <w:r w:rsidR="008115C7">
        <w:rPr>
          <w:bCs/>
          <w:i/>
          <w:iCs/>
          <w:sz w:val="23"/>
          <w:szCs w:val="23"/>
        </w:rPr>
        <w:t>s</w:t>
      </w:r>
      <w:r w:rsidR="00275554">
        <w:rPr>
          <w:bCs/>
          <w:i/>
          <w:iCs/>
          <w:sz w:val="23"/>
          <w:szCs w:val="23"/>
        </w:rPr>
        <w:t xml:space="preserve"> </w:t>
      </w:r>
      <w:r w:rsidR="00167165">
        <w:rPr>
          <w:bCs/>
          <w:i/>
          <w:iCs/>
          <w:sz w:val="23"/>
          <w:szCs w:val="23"/>
        </w:rPr>
        <w:t>fonction</w:t>
      </w:r>
      <w:r w:rsidR="008115C7">
        <w:rPr>
          <w:bCs/>
          <w:i/>
          <w:iCs/>
          <w:sz w:val="23"/>
          <w:szCs w:val="23"/>
        </w:rPr>
        <w:t>s :</w:t>
      </w:r>
      <w:r w:rsidR="0035771B" w:rsidRPr="00E2556E">
        <w:rPr>
          <w:bCs/>
          <w:i/>
          <w:iCs/>
          <w:sz w:val="23"/>
          <w:szCs w:val="23"/>
        </w:rPr>
        <w:t> «</w:t>
      </w:r>
      <w:r w:rsidR="00206ABE">
        <w:rPr>
          <w:bCs/>
          <w:i/>
          <w:iCs/>
          <w:sz w:val="23"/>
          <w:szCs w:val="23"/>
        </w:rPr>
        <w:t>produits alimentaires et boissons non alcoolisées</w:t>
      </w:r>
      <w:r w:rsidR="00A323AC">
        <w:rPr>
          <w:b/>
          <w:bCs/>
          <w:i/>
          <w:iCs/>
          <w:sz w:val="23"/>
          <w:szCs w:val="23"/>
        </w:rPr>
        <w:t> » (</w:t>
      </w:r>
      <w:r w:rsidR="001A214E">
        <w:rPr>
          <w:b/>
          <w:bCs/>
          <w:i/>
          <w:iCs/>
          <w:sz w:val="23"/>
          <w:szCs w:val="23"/>
        </w:rPr>
        <w:t>+3,5</w:t>
      </w:r>
      <w:r w:rsidR="00B02550">
        <w:rPr>
          <w:b/>
          <w:bCs/>
          <w:i/>
          <w:iCs/>
          <w:sz w:val="23"/>
          <w:szCs w:val="23"/>
        </w:rPr>
        <w:t>%)</w:t>
      </w:r>
      <w:r w:rsidR="00A15FD7" w:rsidRPr="008115C7">
        <w:rPr>
          <w:b/>
          <w:bCs/>
          <w:i/>
          <w:iCs/>
          <w:sz w:val="23"/>
          <w:szCs w:val="23"/>
        </w:rPr>
        <w:t>.</w:t>
      </w:r>
    </w:p>
    <w:p w:rsidR="00D84986" w:rsidRPr="00E2556E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 xml:space="preserve">Les </w:t>
      </w:r>
      <w:r w:rsidR="00A323AC">
        <w:rPr>
          <w:bCs/>
          <w:i/>
          <w:iCs/>
          <w:sz w:val="23"/>
          <w:szCs w:val="23"/>
        </w:rPr>
        <w:t xml:space="preserve">groupes de </w:t>
      </w:r>
      <w:r w:rsidR="00605B09">
        <w:rPr>
          <w:bCs/>
          <w:i/>
          <w:iCs/>
          <w:sz w:val="23"/>
          <w:szCs w:val="23"/>
        </w:rPr>
        <w:t>produits</w:t>
      </w:r>
      <w:r>
        <w:rPr>
          <w:bCs/>
          <w:i/>
          <w:iCs/>
          <w:sz w:val="23"/>
          <w:szCs w:val="23"/>
        </w:rPr>
        <w:t xml:space="preserve"> do</w:t>
      </w:r>
      <w:r w:rsidR="007A7B2A">
        <w:rPr>
          <w:bCs/>
          <w:i/>
          <w:iCs/>
          <w:sz w:val="23"/>
          <w:szCs w:val="23"/>
        </w:rPr>
        <w:t xml:space="preserve">nt les prix </w:t>
      </w:r>
      <w:r w:rsidR="00913E07">
        <w:rPr>
          <w:bCs/>
          <w:i/>
          <w:iCs/>
          <w:sz w:val="23"/>
          <w:szCs w:val="23"/>
        </w:rPr>
        <w:t>ont contribué à</w:t>
      </w:r>
      <w:r w:rsidR="007A7B2A">
        <w:rPr>
          <w:bCs/>
          <w:i/>
          <w:iCs/>
          <w:sz w:val="23"/>
          <w:szCs w:val="23"/>
        </w:rPr>
        <w:t xml:space="preserve"> c</w:t>
      </w:r>
      <w:r w:rsidR="0035771B">
        <w:rPr>
          <w:bCs/>
          <w:i/>
          <w:iCs/>
          <w:sz w:val="23"/>
          <w:szCs w:val="23"/>
        </w:rPr>
        <w:t xml:space="preserve">ette </w:t>
      </w:r>
      <w:r w:rsidR="00AD103B">
        <w:rPr>
          <w:bCs/>
          <w:i/>
          <w:iCs/>
          <w:sz w:val="23"/>
          <w:szCs w:val="23"/>
        </w:rPr>
        <w:t>hau</w:t>
      </w:r>
      <w:r w:rsidR="001951FA">
        <w:rPr>
          <w:bCs/>
          <w:i/>
          <w:iCs/>
          <w:sz w:val="23"/>
          <w:szCs w:val="23"/>
        </w:rPr>
        <w:t>sse</w:t>
      </w:r>
      <w:r w:rsidR="0035771B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>sont :</w:t>
      </w:r>
    </w:p>
    <w:p w:rsidR="004115CA" w:rsidRPr="00613DE2" w:rsidRDefault="00BC06F0" w:rsidP="008F1E89">
      <w:pPr>
        <w:numPr>
          <w:ilvl w:val="0"/>
          <w:numId w:val="1"/>
        </w:numPr>
        <w:spacing w:line="360" w:lineRule="auto"/>
        <w:ind w:left="567" w:hanging="207"/>
        <w:jc w:val="both"/>
      </w:pPr>
      <w:r w:rsidRPr="00F220DE">
        <w:rPr>
          <w:bCs/>
          <w:i/>
          <w:iCs/>
          <w:sz w:val="23"/>
          <w:szCs w:val="23"/>
        </w:rPr>
        <w:t>« </w:t>
      </w:r>
      <w:r w:rsidR="00526702" w:rsidRPr="00F220DE">
        <w:rPr>
          <w:bCs/>
          <w:i/>
          <w:iCs/>
          <w:sz w:val="23"/>
          <w:szCs w:val="23"/>
        </w:rPr>
        <w:t xml:space="preserve">légumes </w:t>
      </w:r>
      <w:r w:rsidR="0049159E">
        <w:rPr>
          <w:bCs/>
          <w:i/>
          <w:iCs/>
          <w:sz w:val="23"/>
          <w:szCs w:val="23"/>
        </w:rPr>
        <w:t>frais en fruit</w:t>
      </w:r>
      <w:r w:rsidR="00C67E4D" w:rsidRPr="00F220DE">
        <w:rPr>
          <w:bCs/>
          <w:i/>
          <w:iCs/>
          <w:sz w:val="23"/>
          <w:szCs w:val="23"/>
        </w:rPr>
        <w:t xml:space="preserve"> » </w:t>
      </w:r>
      <w:r w:rsidR="00C67E4D" w:rsidRPr="00D417F9">
        <w:rPr>
          <w:b/>
          <w:bCs/>
          <w:i/>
          <w:iCs/>
          <w:sz w:val="23"/>
          <w:szCs w:val="23"/>
        </w:rPr>
        <w:t>(</w:t>
      </w:r>
      <w:r w:rsidR="005577E8">
        <w:rPr>
          <w:b/>
          <w:bCs/>
          <w:i/>
          <w:iCs/>
          <w:sz w:val="23"/>
          <w:szCs w:val="23"/>
        </w:rPr>
        <w:t>+51,8</w:t>
      </w:r>
      <w:r w:rsidR="00C67E4D" w:rsidRPr="00D417F9">
        <w:rPr>
          <w:b/>
          <w:bCs/>
          <w:i/>
          <w:iCs/>
          <w:sz w:val="23"/>
          <w:szCs w:val="23"/>
        </w:rPr>
        <w:t>%)</w:t>
      </w:r>
      <w:r w:rsidR="00F65DAC">
        <w:rPr>
          <w:bCs/>
          <w:i/>
          <w:iCs/>
          <w:sz w:val="23"/>
          <w:szCs w:val="23"/>
        </w:rPr>
        <w:t>,</w:t>
      </w:r>
      <w:r w:rsidR="00F220DE" w:rsidRPr="00F220DE">
        <w:rPr>
          <w:b/>
          <w:bCs/>
          <w:i/>
          <w:iCs/>
          <w:sz w:val="23"/>
          <w:szCs w:val="23"/>
        </w:rPr>
        <w:t xml:space="preserve"> </w:t>
      </w:r>
      <w:r w:rsidR="00AD103B">
        <w:rPr>
          <w:bCs/>
          <w:i/>
          <w:iCs/>
          <w:sz w:val="23"/>
          <w:szCs w:val="23"/>
        </w:rPr>
        <w:t xml:space="preserve">en raison d’une évolution à la hausse des prix </w:t>
      </w:r>
      <w:r w:rsidR="00856C09">
        <w:rPr>
          <w:bCs/>
          <w:i/>
          <w:iCs/>
          <w:sz w:val="23"/>
          <w:szCs w:val="23"/>
        </w:rPr>
        <w:t>de la tomate, de l’orange et de l’</w:t>
      </w:r>
      <w:r w:rsidR="00AD103B">
        <w:rPr>
          <w:bCs/>
          <w:i/>
          <w:iCs/>
          <w:sz w:val="23"/>
          <w:szCs w:val="23"/>
        </w:rPr>
        <w:t xml:space="preserve">avocat à la suite de </w:t>
      </w:r>
      <w:r w:rsidR="00F44753">
        <w:rPr>
          <w:bCs/>
          <w:i/>
          <w:iCs/>
          <w:sz w:val="23"/>
          <w:szCs w:val="23"/>
        </w:rPr>
        <w:t xml:space="preserve">la </w:t>
      </w:r>
      <w:r w:rsidR="00AD103B">
        <w:rPr>
          <w:bCs/>
          <w:i/>
          <w:iCs/>
          <w:sz w:val="23"/>
          <w:szCs w:val="23"/>
        </w:rPr>
        <w:t>haute saison de production de ces produits les deux mois précédents</w:t>
      </w:r>
      <w:r w:rsidR="00613DE2">
        <w:rPr>
          <w:bCs/>
          <w:i/>
          <w:iCs/>
          <w:sz w:val="23"/>
          <w:szCs w:val="23"/>
        </w:rPr>
        <w:t> </w:t>
      </w:r>
      <w:r w:rsidR="008021BF">
        <w:rPr>
          <w:bCs/>
          <w:i/>
          <w:iCs/>
          <w:sz w:val="23"/>
          <w:szCs w:val="23"/>
        </w:rPr>
        <w:t>;</w:t>
      </w:r>
    </w:p>
    <w:p w:rsidR="00613DE2" w:rsidRPr="008F55E9" w:rsidRDefault="00613DE2" w:rsidP="008F1E89">
      <w:pPr>
        <w:numPr>
          <w:ilvl w:val="0"/>
          <w:numId w:val="1"/>
        </w:numPr>
        <w:spacing w:line="360" w:lineRule="auto"/>
        <w:ind w:left="567" w:hanging="207"/>
        <w:jc w:val="both"/>
      </w:pPr>
      <w:r>
        <w:rPr>
          <w:bCs/>
          <w:i/>
          <w:iCs/>
          <w:sz w:val="23"/>
          <w:szCs w:val="23"/>
        </w:rPr>
        <w:t>« </w:t>
      </w:r>
      <w:r w:rsidR="00856C09">
        <w:rPr>
          <w:bCs/>
          <w:i/>
          <w:iCs/>
          <w:sz w:val="23"/>
          <w:szCs w:val="23"/>
        </w:rPr>
        <w:t>légumes en feuille</w:t>
      </w:r>
      <w:r>
        <w:rPr>
          <w:bCs/>
          <w:i/>
          <w:iCs/>
          <w:sz w:val="23"/>
          <w:szCs w:val="23"/>
        </w:rPr>
        <w:t xml:space="preserve"> » </w:t>
      </w:r>
      <w:r w:rsidR="00856C09">
        <w:rPr>
          <w:b/>
          <w:bCs/>
          <w:i/>
          <w:iCs/>
          <w:sz w:val="23"/>
          <w:szCs w:val="23"/>
        </w:rPr>
        <w:t>(+8,3</w:t>
      </w:r>
      <w:r w:rsidRPr="00613DE2">
        <w:rPr>
          <w:b/>
          <w:bCs/>
          <w:i/>
          <w:iCs/>
          <w:sz w:val="23"/>
          <w:szCs w:val="23"/>
        </w:rPr>
        <w:t>%)</w:t>
      </w:r>
      <w:r>
        <w:rPr>
          <w:bCs/>
          <w:i/>
          <w:iCs/>
          <w:sz w:val="23"/>
          <w:szCs w:val="23"/>
        </w:rPr>
        <w:t xml:space="preserve">, </w:t>
      </w:r>
      <w:r w:rsidR="00AD103B">
        <w:rPr>
          <w:bCs/>
          <w:i/>
          <w:iCs/>
          <w:sz w:val="23"/>
          <w:szCs w:val="23"/>
        </w:rPr>
        <w:t xml:space="preserve">lié aux pluies qui n’ont pas facilité la production </w:t>
      </w:r>
      <w:r w:rsidR="00856C09">
        <w:rPr>
          <w:bCs/>
          <w:i/>
          <w:iCs/>
          <w:sz w:val="23"/>
          <w:szCs w:val="23"/>
        </w:rPr>
        <w:t>de</w:t>
      </w:r>
      <w:r w:rsidR="00AD103B">
        <w:rPr>
          <w:bCs/>
          <w:i/>
          <w:iCs/>
          <w:sz w:val="23"/>
          <w:szCs w:val="23"/>
        </w:rPr>
        <w:t xml:space="preserve">s </w:t>
      </w:r>
      <w:r w:rsidR="00856C09">
        <w:rPr>
          <w:bCs/>
          <w:i/>
          <w:iCs/>
          <w:sz w:val="23"/>
          <w:szCs w:val="23"/>
        </w:rPr>
        <w:t xml:space="preserve"> feuille</w:t>
      </w:r>
      <w:r w:rsidR="00AD103B">
        <w:rPr>
          <w:bCs/>
          <w:i/>
          <w:iCs/>
          <w:sz w:val="23"/>
          <w:szCs w:val="23"/>
        </w:rPr>
        <w:t>s</w:t>
      </w:r>
      <w:r w:rsidR="00856C09">
        <w:rPr>
          <w:bCs/>
          <w:i/>
          <w:iCs/>
          <w:sz w:val="23"/>
          <w:szCs w:val="23"/>
        </w:rPr>
        <w:t xml:space="preserve"> de laitue, de carotte</w:t>
      </w:r>
      <w:r w:rsidR="00AD103B">
        <w:rPr>
          <w:bCs/>
          <w:i/>
          <w:iCs/>
          <w:sz w:val="23"/>
          <w:szCs w:val="23"/>
        </w:rPr>
        <w:t xml:space="preserve"> et du</w:t>
      </w:r>
      <w:r w:rsidR="000A595E">
        <w:rPr>
          <w:bCs/>
          <w:i/>
          <w:iCs/>
          <w:sz w:val="23"/>
          <w:szCs w:val="23"/>
        </w:rPr>
        <w:t xml:space="preserve"> </w:t>
      </w:r>
      <w:r w:rsidR="00AD103B">
        <w:rPr>
          <w:bCs/>
          <w:i/>
          <w:iCs/>
          <w:sz w:val="23"/>
          <w:szCs w:val="23"/>
        </w:rPr>
        <w:t xml:space="preserve">gboman </w:t>
      </w:r>
      <w:r w:rsidR="000A595E">
        <w:rPr>
          <w:bCs/>
          <w:i/>
          <w:iCs/>
          <w:sz w:val="23"/>
          <w:szCs w:val="23"/>
        </w:rPr>
        <w:t>etc</w:t>
      </w:r>
      <w:r w:rsidR="00AD103B">
        <w:rPr>
          <w:bCs/>
          <w:i/>
          <w:iCs/>
          <w:sz w:val="23"/>
          <w:szCs w:val="23"/>
        </w:rPr>
        <w:t> ;</w:t>
      </w:r>
    </w:p>
    <w:p w:rsidR="008F55E9" w:rsidRPr="00477677" w:rsidRDefault="008F55E9" w:rsidP="008F1E89">
      <w:pPr>
        <w:numPr>
          <w:ilvl w:val="0"/>
          <w:numId w:val="1"/>
        </w:numPr>
        <w:spacing w:line="360" w:lineRule="auto"/>
        <w:ind w:left="567" w:hanging="207"/>
        <w:jc w:val="both"/>
      </w:pPr>
      <w:r w:rsidRPr="00F220DE">
        <w:rPr>
          <w:bCs/>
          <w:i/>
          <w:iCs/>
          <w:sz w:val="23"/>
          <w:szCs w:val="23"/>
        </w:rPr>
        <w:t>« </w:t>
      </w:r>
      <w:r w:rsidR="000A595E">
        <w:rPr>
          <w:bCs/>
          <w:i/>
          <w:iCs/>
          <w:sz w:val="23"/>
          <w:szCs w:val="23"/>
        </w:rPr>
        <w:t>poissons frais</w:t>
      </w:r>
      <w:r w:rsidRPr="00F220DE">
        <w:rPr>
          <w:bCs/>
          <w:i/>
          <w:iCs/>
          <w:sz w:val="23"/>
          <w:szCs w:val="23"/>
        </w:rPr>
        <w:t xml:space="preserve">» </w:t>
      </w:r>
      <w:r w:rsidRPr="00D417F9">
        <w:rPr>
          <w:b/>
          <w:bCs/>
          <w:i/>
          <w:iCs/>
          <w:sz w:val="23"/>
          <w:szCs w:val="23"/>
        </w:rPr>
        <w:t>(</w:t>
      </w:r>
      <w:r w:rsidR="000A595E">
        <w:rPr>
          <w:b/>
          <w:bCs/>
          <w:i/>
          <w:iCs/>
          <w:sz w:val="23"/>
          <w:szCs w:val="23"/>
        </w:rPr>
        <w:t>+2,5</w:t>
      </w:r>
      <w:r w:rsidRPr="00D417F9">
        <w:rPr>
          <w:b/>
          <w:bCs/>
          <w:i/>
          <w:iCs/>
          <w:sz w:val="23"/>
          <w:szCs w:val="23"/>
        </w:rPr>
        <w:t>%)</w:t>
      </w:r>
      <w:r>
        <w:rPr>
          <w:bCs/>
          <w:i/>
          <w:iCs/>
          <w:sz w:val="23"/>
          <w:szCs w:val="23"/>
        </w:rPr>
        <w:t xml:space="preserve">, </w:t>
      </w:r>
      <w:r w:rsidR="00DF3E40">
        <w:rPr>
          <w:bCs/>
          <w:i/>
          <w:iCs/>
          <w:sz w:val="23"/>
          <w:szCs w:val="23"/>
        </w:rPr>
        <w:t>à cause de</w:t>
      </w:r>
      <w:r>
        <w:rPr>
          <w:bCs/>
          <w:i/>
          <w:iCs/>
          <w:sz w:val="23"/>
          <w:szCs w:val="23"/>
        </w:rPr>
        <w:t xml:space="preserve"> </w:t>
      </w:r>
      <w:r w:rsidR="000A595E">
        <w:rPr>
          <w:bCs/>
          <w:i/>
          <w:iCs/>
          <w:sz w:val="23"/>
          <w:szCs w:val="23"/>
        </w:rPr>
        <w:t xml:space="preserve">la montée des eaux </w:t>
      </w:r>
      <w:r w:rsidR="00DF3E40">
        <w:rPr>
          <w:bCs/>
          <w:i/>
          <w:iCs/>
          <w:sz w:val="23"/>
          <w:szCs w:val="23"/>
        </w:rPr>
        <w:t xml:space="preserve">qui a </w:t>
      </w:r>
      <w:r w:rsidR="000A595E">
        <w:rPr>
          <w:bCs/>
          <w:i/>
          <w:iCs/>
          <w:sz w:val="23"/>
          <w:szCs w:val="23"/>
        </w:rPr>
        <w:t>perturb</w:t>
      </w:r>
      <w:r w:rsidR="00DF3E40">
        <w:rPr>
          <w:bCs/>
          <w:i/>
          <w:iCs/>
          <w:sz w:val="23"/>
          <w:szCs w:val="23"/>
        </w:rPr>
        <w:t>é</w:t>
      </w:r>
      <w:r w:rsidR="000A595E">
        <w:rPr>
          <w:bCs/>
          <w:i/>
          <w:iCs/>
          <w:sz w:val="23"/>
          <w:szCs w:val="23"/>
        </w:rPr>
        <w:t xml:space="preserve"> la pêche.</w:t>
      </w:r>
    </w:p>
    <w:p w:rsidR="00477677" w:rsidRPr="00AD7D1F" w:rsidRDefault="00B07284" w:rsidP="00477677">
      <w:pPr>
        <w:spacing w:line="360" w:lineRule="auto"/>
        <w:jc w:val="both"/>
      </w:pPr>
      <w:r>
        <w:rPr>
          <w:bCs/>
          <w:i/>
          <w:iCs/>
          <w:sz w:val="23"/>
          <w:szCs w:val="23"/>
        </w:rPr>
        <w:t xml:space="preserve"> L’accroissement des prix observé a été modéré par ceux notamment du </w:t>
      </w:r>
      <w:r w:rsidR="006071C9" w:rsidRPr="00F220DE">
        <w:rPr>
          <w:bCs/>
          <w:i/>
          <w:iCs/>
          <w:sz w:val="23"/>
          <w:szCs w:val="23"/>
        </w:rPr>
        <w:t>« </w:t>
      </w:r>
      <w:r w:rsidR="006071C9">
        <w:rPr>
          <w:bCs/>
          <w:i/>
          <w:iCs/>
          <w:sz w:val="23"/>
          <w:szCs w:val="23"/>
        </w:rPr>
        <w:t>citron</w:t>
      </w:r>
      <w:r w:rsidR="006071C9" w:rsidRPr="00F220DE">
        <w:rPr>
          <w:bCs/>
          <w:i/>
          <w:iCs/>
          <w:sz w:val="23"/>
          <w:szCs w:val="23"/>
        </w:rPr>
        <w:t> »</w:t>
      </w:r>
      <w:r w:rsidR="006071C9">
        <w:rPr>
          <w:bCs/>
          <w:i/>
          <w:iCs/>
          <w:sz w:val="23"/>
          <w:szCs w:val="23"/>
        </w:rPr>
        <w:t xml:space="preserve"> </w:t>
      </w:r>
      <w:r w:rsidR="006071C9" w:rsidRPr="00AD7D1F">
        <w:rPr>
          <w:b/>
          <w:bCs/>
          <w:i/>
          <w:iCs/>
          <w:sz w:val="23"/>
          <w:szCs w:val="23"/>
        </w:rPr>
        <w:t>(-31,7%)</w:t>
      </w:r>
      <w:r>
        <w:rPr>
          <w:bCs/>
          <w:i/>
          <w:iCs/>
          <w:sz w:val="23"/>
          <w:szCs w:val="23"/>
        </w:rPr>
        <w:t xml:space="preserve">, du </w:t>
      </w:r>
      <w:r w:rsidR="006071C9">
        <w:rPr>
          <w:bCs/>
          <w:i/>
          <w:iCs/>
          <w:sz w:val="23"/>
          <w:szCs w:val="23"/>
        </w:rPr>
        <w:t>«Mil en grain » (</w:t>
      </w:r>
      <w:r w:rsidR="006071C9" w:rsidRPr="00AD7D1F">
        <w:rPr>
          <w:b/>
          <w:bCs/>
          <w:i/>
          <w:iCs/>
          <w:sz w:val="23"/>
          <w:szCs w:val="23"/>
        </w:rPr>
        <w:t>-15,5%)</w:t>
      </w:r>
      <w:r>
        <w:rPr>
          <w:bCs/>
          <w:i/>
          <w:iCs/>
          <w:sz w:val="23"/>
          <w:szCs w:val="23"/>
        </w:rPr>
        <w:t xml:space="preserve"> et </w:t>
      </w:r>
      <w:r w:rsidR="00E40A88">
        <w:rPr>
          <w:bCs/>
          <w:i/>
          <w:iCs/>
          <w:sz w:val="23"/>
          <w:szCs w:val="23"/>
        </w:rPr>
        <w:t>de l’essence</w:t>
      </w:r>
      <w:r>
        <w:rPr>
          <w:bCs/>
          <w:i/>
          <w:iCs/>
          <w:sz w:val="23"/>
          <w:szCs w:val="23"/>
        </w:rPr>
        <w:t xml:space="preserve"> vendu </w:t>
      </w:r>
      <w:r w:rsidR="00E40A88">
        <w:rPr>
          <w:bCs/>
          <w:i/>
          <w:iCs/>
          <w:sz w:val="23"/>
          <w:szCs w:val="23"/>
        </w:rPr>
        <w:t xml:space="preserve"> </w:t>
      </w:r>
      <w:r>
        <w:rPr>
          <w:bCs/>
          <w:i/>
          <w:iCs/>
          <w:sz w:val="23"/>
          <w:szCs w:val="23"/>
        </w:rPr>
        <w:t>en vrac</w:t>
      </w:r>
      <w:r w:rsidR="00E40A88">
        <w:rPr>
          <w:bCs/>
          <w:i/>
          <w:iCs/>
          <w:sz w:val="23"/>
          <w:szCs w:val="23"/>
        </w:rPr>
        <w:t xml:space="preserve"> </w:t>
      </w:r>
      <w:r w:rsidRPr="00B07284">
        <w:rPr>
          <w:b/>
          <w:bCs/>
          <w:i/>
          <w:iCs/>
          <w:sz w:val="23"/>
          <w:szCs w:val="23"/>
        </w:rPr>
        <w:t>(-</w:t>
      </w:r>
      <w:r w:rsidR="00E40A88" w:rsidRPr="00B07284">
        <w:rPr>
          <w:b/>
          <w:bCs/>
          <w:i/>
          <w:iCs/>
          <w:sz w:val="23"/>
          <w:szCs w:val="23"/>
        </w:rPr>
        <w:t xml:space="preserve"> 15,7%</w:t>
      </w:r>
      <w:r w:rsidRPr="00B07284">
        <w:rPr>
          <w:b/>
          <w:bCs/>
          <w:i/>
          <w:iCs/>
          <w:sz w:val="23"/>
          <w:szCs w:val="23"/>
        </w:rPr>
        <w:t>)</w:t>
      </w:r>
      <w:r>
        <w:rPr>
          <w:bCs/>
          <w:i/>
          <w:iCs/>
          <w:sz w:val="23"/>
          <w:szCs w:val="23"/>
        </w:rPr>
        <w:t>.</w:t>
      </w:r>
      <w:r w:rsidR="00E40A88">
        <w:rPr>
          <w:bCs/>
          <w:i/>
          <w:iCs/>
          <w:sz w:val="23"/>
          <w:szCs w:val="23"/>
        </w:rPr>
        <w:t xml:space="preserve"> </w:t>
      </w:r>
    </w:p>
    <w:p w:rsidR="00B042A6" w:rsidRPr="00714887" w:rsidRDefault="00B042A6" w:rsidP="00D84986">
      <w:pPr>
        <w:spacing w:line="360" w:lineRule="auto"/>
        <w:jc w:val="both"/>
        <w:rPr>
          <w:b/>
          <w:bCs/>
          <w:i/>
          <w:iCs/>
          <w:sz w:val="12"/>
          <w:szCs w:val="12"/>
        </w:rPr>
      </w:pPr>
    </w:p>
    <w:p w:rsidR="00D84986" w:rsidRDefault="00D84986" w:rsidP="00D84986">
      <w:pPr>
        <w:spacing w:line="360" w:lineRule="auto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IHPC suivant la nature et l’origine du produit </w:t>
      </w:r>
    </w:p>
    <w:p w:rsidR="00D84986" w:rsidRDefault="00F430C0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Par rapport à</w:t>
      </w:r>
      <w:r w:rsidR="008A03CF">
        <w:rPr>
          <w:bCs/>
          <w:i/>
          <w:iCs/>
          <w:sz w:val="23"/>
          <w:szCs w:val="23"/>
        </w:rPr>
        <w:t xml:space="preserve"> la nature des produits </w:t>
      </w:r>
      <w:r w:rsidR="00D84986">
        <w:rPr>
          <w:bCs/>
          <w:i/>
          <w:iCs/>
          <w:sz w:val="23"/>
          <w:szCs w:val="23"/>
        </w:rPr>
        <w:t>:</w:t>
      </w:r>
    </w:p>
    <w:p w:rsidR="00D84986" w:rsidRDefault="008A03CF" w:rsidP="00D84986">
      <w:pPr>
        <w:pStyle w:val="Paragraphedeliste"/>
        <w:numPr>
          <w:ilvl w:val="0"/>
          <w:numId w:val="2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 xml:space="preserve">n </w:t>
      </w:r>
      <w:r w:rsidR="008B5AE0">
        <w:rPr>
          <w:bCs/>
          <w:i/>
          <w:iCs/>
          <w:sz w:val="23"/>
          <w:szCs w:val="23"/>
        </w:rPr>
        <w:t>variation</w:t>
      </w:r>
      <w:r w:rsidR="00D84986">
        <w:rPr>
          <w:bCs/>
          <w:i/>
          <w:iCs/>
          <w:sz w:val="23"/>
          <w:szCs w:val="23"/>
        </w:rPr>
        <w:t xml:space="preserve"> mensue</w:t>
      </w:r>
      <w:r w:rsidR="0067767B">
        <w:rPr>
          <w:bCs/>
          <w:i/>
          <w:iCs/>
          <w:sz w:val="23"/>
          <w:szCs w:val="23"/>
        </w:rPr>
        <w:t>l</w:t>
      </w:r>
      <w:r w:rsidR="00D84986">
        <w:rPr>
          <w:bCs/>
          <w:i/>
          <w:iCs/>
          <w:sz w:val="23"/>
          <w:szCs w:val="23"/>
        </w:rPr>
        <w:t>l</w:t>
      </w:r>
      <w:r w:rsidR="0067767B"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>, l</w:t>
      </w:r>
      <w:r w:rsidR="00574299">
        <w:rPr>
          <w:bCs/>
          <w:i/>
          <w:iCs/>
          <w:sz w:val="23"/>
          <w:szCs w:val="23"/>
        </w:rPr>
        <w:t xml:space="preserve">es </w:t>
      </w:r>
      <w:r w:rsidR="000E0196">
        <w:rPr>
          <w:bCs/>
          <w:i/>
          <w:iCs/>
          <w:sz w:val="23"/>
          <w:szCs w:val="23"/>
        </w:rPr>
        <w:t>prix des</w:t>
      </w:r>
      <w:r w:rsidR="00574299">
        <w:rPr>
          <w:bCs/>
          <w:i/>
          <w:iCs/>
          <w:sz w:val="23"/>
          <w:szCs w:val="23"/>
        </w:rPr>
        <w:t xml:space="preserve"> « produits frais » </w:t>
      </w:r>
      <w:r w:rsidR="004B1B60">
        <w:rPr>
          <w:bCs/>
          <w:i/>
          <w:iCs/>
          <w:sz w:val="23"/>
          <w:szCs w:val="23"/>
        </w:rPr>
        <w:t xml:space="preserve"> </w:t>
      </w:r>
      <w:r w:rsidR="00E43B98">
        <w:rPr>
          <w:bCs/>
          <w:i/>
          <w:iCs/>
          <w:sz w:val="23"/>
          <w:szCs w:val="23"/>
        </w:rPr>
        <w:t xml:space="preserve">ont connu une </w:t>
      </w:r>
      <w:r w:rsidR="000A595E">
        <w:rPr>
          <w:bCs/>
          <w:i/>
          <w:iCs/>
          <w:sz w:val="23"/>
          <w:szCs w:val="23"/>
        </w:rPr>
        <w:t>hausse</w:t>
      </w:r>
      <w:r w:rsidR="00E43B98">
        <w:rPr>
          <w:bCs/>
          <w:i/>
          <w:iCs/>
          <w:sz w:val="23"/>
          <w:szCs w:val="23"/>
        </w:rPr>
        <w:t xml:space="preserve"> de </w:t>
      </w:r>
      <w:r w:rsidR="000A595E">
        <w:rPr>
          <w:b/>
          <w:bCs/>
          <w:i/>
          <w:iCs/>
          <w:sz w:val="23"/>
          <w:szCs w:val="23"/>
        </w:rPr>
        <w:t>4,4</w:t>
      </w:r>
      <w:r w:rsidR="00E43B98" w:rsidRPr="000D31CD">
        <w:rPr>
          <w:b/>
          <w:bCs/>
          <w:i/>
          <w:iCs/>
          <w:sz w:val="23"/>
          <w:szCs w:val="23"/>
        </w:rPr>
        <w:t>%</w:t>
      </w:r>
      <w:r w:rsidR="000A595E">
        <w:rPr>
          <w:bCs/>
          <w:i/>
          <w:iCs/>
          <w:sz w:val="23"/>
          <w:szCs w:val="23"/>
        </w:rPr>
        <w:t xml:space="preserve"> alors que ceux </w:t>
      </w:r>
      <w:r w:rsidR="00E43B98">
        <w:rPr>
          <w:bCs/>
          <w:i/>
          <w:iCs/>
          <w:sz w:val="23"/>
          <w:szCs w:val="23"/>
        </w:rPr>
        <w:t>des « produits énergétiques » et</w:t>
      </w:r>
      <w:r w:rsidR="00B24926">
        <w:rPr>
          <w:bCs/>
          <w:i/>
          <w:iCs/>
          <w:sz w:val="23"/>
          <w:szCs w:val="23"/>
        </w:rPr>
        <w:t xml:space="preserve"> ceux des «hors produits frais et énergétiques » </w:t>
      </w:r>
      <w:r w:rsidR="000A595E">
        <w:rPr>
          <w:bCs/>
          <w:i/>
          <w:iCs/>
          <w:sz w:val="23"/>
          <w:szCs w:val="23"/>
        </w:rPr>
        <w:t xml:space="preserve">ont </w:t>
      </w:r>
      <w:r w:rsidR="00686BD0">
        <w:rPr>
          <w:bCs/>
          <w:i/>
          <w:iCs/>
          <w:sz w:val="23"/>
          <w:szCs w:val="23"/>
        </w:rPr>
        <w:t>baissé</w:t>
      </w:r>
      <w:r w:rsidR="000A595E">
        <w:rPr>
          <w:bCs/>
          <w:i/>
          <w:iCs/>
          <w:sz w:val="23"/>
          <w:szCs w:val="23"/>
        </w:rPr>
        <w:t xml:space="preserve"> respectivement </w:t>
      </w:r>
      <w:r w:rsidR="00B24926">
        <w:rPr>
          <w:bCs/>
          <w:i/>
          <w:iCs/>
          <w:sz w:val="23"/>
          <w:szCs w:val="23"/>
        </w:rPr>
        <w:t xml:space="preserve">de </w:t>
      </w:r>
      <w:r w:rsidR="001A5768">
        <w:rPr>
          <w:b/>
          <w:bCs/>
          <w:i/>
          <w:iCs/>
          <w:sz w:val="23"/>
          <w:szCs w:val="23"/>
        </w:rPr>
        <w:t>1,</w:t>
      </w:r>
      <w:r w:rsidR="000A595E">
        <w:rPr>
          <w:b/>
          <w:bCs/>
          <w:i/>
          <w:iCs/>
          <w:sz w:val="23"/>
          <w:szCs w:val="23"/>
        </w:rPr>
        <w:t>4</w:t>
      </w:r>
      <w:r w:rsidR="00B24926" w:rsidRPr="00B24926">
        <w:rPr>
          <w:b/>
          <w:bCs/>
          <w:i/>
          <w:iCs/>
          <w:sz w:val="23"/>
          <w:szCs w:val="23"/>
        </w:rPr>
        <w:t>%</w:t>
      </w:r>
      <w:r w:rsidR="00B24926">
        <w:rPr>
          <w:bCs/>
          <w:i/>
          <w:iCs/>
          <w:sz w:val="23"/>
          <w:szCs w:val="23"/>
        </w:rPr>
        <w:t xml:space="preserve"> et de </w:t>
      </w:r>
      <w:r w:rsidR="001A5768">
        <w:rPr>
          <w:b/>
          <w:bCs/>
          <w:i/>
          <w:iCs/>
          <w:sz w:val="23"/>
          <w:szCs w:val="23"/>
        </w:rPr>
        <w:t>0,</w:t>
      </w:r>
      <w:r w:rsidR="000A595E">
        <w:rPr>
          <w:b/>
          <w:bCs/>
          <w:i/>
          <w:iCs/>
          <w:sz w:val="23"/>
          <w:szCs w:val="23"/>
        </w:rPr>
        <w:t>2</w:t>
      </w:r>
      <w:r w:rsidR="00B24926" w:rsidRPr="00B24926">
        <w:rPr>
          <w:b/>
          <w:bCs/>
          <w:i/>
          <w:iCs/>
          <w:sz w:val="23"/>
          <w:szCs w:val="23"/>
        </w:rPr>
        <w:t>%</w:t>
      </w:r>
      <w:r w:rsidR="00A91FC8">
        <w:rPr>
          <w:bCs/>
          <w:i/>
          <w:iCs/>
          <w:sz w:val="23"/>
          <w:szCs w:val="23"/>
        </w:rPr>
        <w:t> ;</w:t>
      </w:r>
    </w:p>
    <w:p w:rsidR="00D84986" w:rsidRDefault="008A03CF" w:rsidP="00D84986">
      <w:pPr>
        <w:pStyle w:val="Paragraphedeliste"/>
        <w:numPr>
          <w:ilvl w:val="0"/>
          <w:numId w:val="2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 xml:space="preserve">n glissement annuel, </w:t>
      </w:r>
      <w:r w:rsidR="0037724D">
        <w:rPr>
          <w:bCs/>
          <w:i/>
          <w:iCs/>
          <w:sz w:val="23"/>
          <w:szCs w:val="23"/>
        </w:rPr>
        <w:t xml:space="preserve">les </w:t>
      </w:r>
      <w:r w:rsidR="004B1B60">
        <w:rPr>
          <w:bCs/>
          <w:i/>
          <w:iCs/>
          <w:sz w:val="23"/>
          <w:szCs w:val="23"/>
        </w:rPr>
        <w:t xml:space="preserve"> </w:t>
      </w:r>
      <w:r w:rsidR="000E0196">
        <w:rPr>
          <w:bCs/>
          <w:i/>
          <w:iCs/>
          <w:sz w:val="23"/>
          <w:szCs w:val="23"/>
        </w:rPr>
        <w:t>prix</w:t>
      </w:r>
      <w:r w:rsidR="00574299">
        <w:rPr>
          <w:bCs/>
          <w:i/>
          <w:iCs/>
          <w:sz w:val="23"/>
          <w:szCs w:val="23"/>
        </w:rPr>
        <w:t xml:space="preserve"> de</w:t>
      </w:r>
      <w:r w:rsidR="000E0196">
        <w:rPr>
          <w:bCs/>
          <w:i/>
          <w:iCs/>
          <w:sz w:val="23"/>
          <w:szCs w:val="23"/>
        </w:rPr>
        <w:t>s</w:t>
      </w:r>
      <w:r w:rsidR="00574299">
        <w:rPr>
          <w:bCs/>
          <w:i/>
          <w:iCs/>
          <w:sz w:val="23"/>
          <w:szCs w:val="23"/>
        </w:rPr>
        <w:t xml:space="preserve"> </w:t>
      </w:r>
      <w:r w:rsidR="00312215">
        <w:rPr>
          <w:bCs/>
          <w:i/>
          <w:iCs/>
          <w:sz w:val="23"/>
          <w:szCs w:val="23"/>
        </w:rPr>
        <w:t xml:space="preserve"> </w:t>
      </w:r>
      <w:r w:rsidR="00574299">
        <w:rPr>
          <w:bCs/>
          <w:i/>
          <w:iCs/>
          <w:sz w:val="23"/>
          <w:szCs w:val="23"/>
        </w:rPr>
        <w:t>«</w:t>
      </w:r>
      <w:r w:rsidR="00223929">
        <w:rPr>
          <w:bCs/>
          <w:i/>
          <w:iCs/>
          <w:sz w:val="23"/>
          <w:szCs w:val="23"/>
        </w:rPr>
        <w:t xml:space="preserve"> </w:t>
      </w:r>
      <w:r w:rsidR="000E0196">
        <w:rPr>
          <w:bCs/>
          <w:i/>
          <w:iCs/>
          <w:sz w:val="23"/>
          <w:szCs w:val="23"/>
        </w:rPr>
        <w:t>produits frais</w:t>
      </w:r>
      <w:r w:rsidR="00574299">
        <w:rPr>
          <w:bCs/>
          <w:i/>
          <w:iCs/>
          <w:sz w:val="23"/>
          <w:szCs w:val="23"/>
        </w:rPr>
        <w:t>»</w:t>
      </w:r>
      <w:r w:rsidR="005863CE">
        <w:rPr>
          <w:bCs/>
          <w:i/>
          <w:iCs/>
          <w:sz w:val="23"/>
          <w:szCs w:val="23"/>
        </w:rPr>
        <w:t xml:space="preserve"> </w:t>
      </w:r>
      <w:r w:rsidR="001A5768">
        <w:rPr>
          <w:bCs/>
          <w:i/>
          <w:iCs/>
          <w:sz w:val="23"/>
          <w:szCs w:val="23"/>
        </w:rPr>
        <w:t xml:space="preserve">ont </w:t>
      </w:r>
      <w:r w:rsidR="00686BD0">
        <w:rPr>
          <w:bCs/>
          <w:i/>
          <w:iCs/>
          <w:sz w:val="23"/>
          <w:szCs w:val="23"/>
        </w:rPr>
        <w:t>replié</w:t>
      </w:r>
      <w:r w:rsidR="001A5768">
        <w:rPr>
          <w:bCs/>
          <w:i/>
          <w:iCs/>
          <w:sz w:val="23"/>
          <w:szCs w:val="23"/>
        </w:rPr>
        <w:t xml:space="preserve"> de </w:t>
      </w:r>
      <w:r w:rsidR="0045490B" w:rsidRPr="00DF3E40">
        <w:rPr>
          <w:b/>
          <w:bCs/>
          <w:i/>
          <w:iCs/>
          <w:sz w:val="23"/>
          <w:szCs w:val="23"/>
        </w:rPr>
        <w:t>7</w:t>
      </w:r>
      <w:r w:rsidR="001A5768" w:rsidRPr="00DF3E40">
        <w:rPr>
          <w:b/>
          <w:bCs/>
          <w:i/>
          <w:iCs/>
          <w:sz w:val="23"/>
          <w:szCs w:val="23"/>
        </w:rPr>
        <w:t>,0%</w:t>
      </w:r>
      <w:r w:rsidR="001A5768">
        <w:rPr>
          <w:bCs/>
          <w:i/>
          <w:iCs/>
          <w:sz w:val="23"/>
          <w:szCs w:val="23"/>
        </w:rPr>
        <w:t xml:space="preserve"> </w:t>
      </w:r>
      <w:r w:rsidR="00686BD0">
        <w:rPr>
          <w:bCs/>
          <w:i/>
          <w:iCs/>
          <w:sz w:val="23"/>
          <w:szCs w:val="23"/>
        </w:rPr>
        <w:t>modéré</w:t>
      </w:r>
      <w:r w:rsidR="00E23C07">
        <w:rPr>
          <w:bCs/>
          <w:i/>
          <w:iCs/>
          <w:sz w:val="23"/>
          <w:szCs w:val="23"/>
        </w:rPr>
        <w:t>s</w:t>
      </w:r>
      <w:r w:rsidR="00686BD0">
        <w:rPr>
          <w:bCs/>
          <w:i/>
          <w:iCs/>
          <w:sz w:val="23"/>
          <w:szCs w:val="23"/>
        </w:rPr>
        <w:t xml:space="preserve"> par l’accroissement des coûts</w:t>
      </w:r>
      <w:r w:rsidR="00B24926">
        <w:rPr>
          <w:bCs/>
          <w:i/>
          <w:iCs/>
          <w:sz w:val="23"/>
          <w:szCs w:val="23"/>
        </w:rPr>
        <w:t xml:space="preserve"> </w:t>
      </w:r>
      <w:r w:rsidR="001A5768">
        <w:rPr>
          <w:bCs/>
          <w:i/>
          <w:iCs/>
          <w:sz w:val="23"/>
          <w:szCs w:val="23"/>
        </w:rPr>
        <w:t xml:space="preserve">des </w:t>
      </w:r>
      <w:r w:rsidR="0045490B">
        <w:rPr>
          <w:bCs/>
          <w:i/>
          <w:iCs/>
          <w:sz w:val="23"/>
          <w:szCs w:val="23"/>
        </w:rPr>
        <w:t xml:space="preserve">«hors produits frais et énergétiques » </w:t>
      </w:r>
      <w:r w:rsidR="001A5768">
        <w:rPr>
          <w:bCs/>
          <w:i/>
          <w:iCs/>
          <w:sz w:val="23"/>
          <w:szCs w:val="23"/>
        </w:rPr>
        <w:t xml:space="preserve">puis </w:t>
      </w:r>
      <w:r w:rsidR="00B24926">
        <w:rPr>
          <w:bCs/>
          <w:i/>
          <w:iCs/>
          <w:sz w:val="23"/>
          <w:szCs w:val="23"/>
        </w:rPr>
        <w:t xml:space="preserve">des </w:t>
      </w:r>
      <w:r w:rsidR="0045490B">
        <w:rPr>
          <w:bCs/>
          <w:i/>
          <w:iCs/>
          <w:sz w:val="23"/>
          <w:szCs w:val="23"/>
        </w:rPr>
        <w:t xml:space="preserve">« produits énergétiques » </w:t>
      </w:r>
      <w:r w:rsidR="0037724D">
        <w:rPr>
          <w:bCs/>
          <w:i/>
          <w:iCs/>
          <w:sz w:val="23"/>
          <w:szCs w:val="23"/>
        </w:rPr>
        <w:t xml:space="preserve">respectivement de </w:t>
      </w:r>
      <w:r w:rsidR="0045490B">
        <w:rPr>
          <w:b/>
          <w:bCs/>
          <w:i/>
          <w:iCs/>
          <w:sz w:val="23"/>
          <w:szCs w:val="23"/>
        </w:rPr>
        <w:t>0,5</w:t>
      </w:r>
      <w:r w:rsidR="0037724D" w:rsidRPr="008F1E89">
        <w:rPr>
          <w:b/>
          <w:bCs/>
          <w:i/>
          <w:iCs/>
          <w:sz w:val="23"/>
          <w:szCs w:val="23"/>
        </w:rPr>
        <w:t>%</w:t>
      </w:r>
      <w:r w:rsidR="005310BD">
        <w:rPr>
          <w:b/>
          <w:bCs/>
          <w:i/>
          <w:iCs/>
          <w:sz w:val="23"/>
          <w:szCs w:val="23"/>
        </w:rPr>
        <w:t xml:space="preserve"> </w:t>
      </w:r>
      <w:r w:rsidR="00D417F9">
        <w:rPr>
          <w:bCs/>
          <w:i/>
          <w:iCs/>
          <w:sz w:val="23"/>
          <w:szCs w:val="23"/>
        </w:rPr>
        <w:t xml:space="preserve">et </w:t>
      </w:r>
      <w:r w:rsidR="00B24926">
        <w:rPr>
          <w:bCs/>
          <w:i/>
          <w:iCs/>
          <w:sz w:val="23"/>
          <w:szCs w:val="23"/>
        </w:rPr>
        <w:t xml:space="preserve"> </w:t>
      </w:r>
      <w:r w:rsidR="0045490B">
        <w:rPr>
          <w:b/>
          <w:bCs/>
          <w:i/>
          <w:iCs/>
          <w:sz w:val="23"/>
          <w:szCs w:val="23"/>
        </w:rPr>
        <w:t>0</w:t>
      </w:r>
      <w:r w:rsidR="001A5768">
        <w:rPr>
          <w:b/>
          <w:bCs/>
          <w:i/>
          <w:iCs/>
          <w:sz w:val="23"/>
          <w:szCs w:val="23"/>
        </w:rPr>
        <w:t>,</w:t>
      </w:r>
      <w:r w:rsidR="0045490B">
        <w:rPr>
          <w:b/>
          <w:bCs/>
          <w:i/>
          <w:iCs/>
          <w:sz w:val="23"/>
          <w:szCs w:val="23"/>
        </w:rPr>
        <w:t>2</w:t>
      </w:r>
      <w:r w:rsidR="00D417F9">
        <w:rPr>
          <w:b/>
          <w:bCs/>
          <w:i/>
          <w:iCs/>
          <w:sz w:val="23"/>
          <w:szCs w:val="23"/>
        </w:rPr>
        <w:t>%</w:t>
      </w:r>
      <w:r w:rsidR="00AC14EF">
        <w:rPr>
          <w:bCs/>
          <w:i/>
          <w:iCs/>
          <w:sz w:val="23"/>
          <w:szCs w:val="23"/>
        </w:rPr>
        <w:t xml:space="preserve">. </w:t>
      </w:r>
    </w:p>
    <w:p w:rsidR="00477677" w:rsidRDefault="00477677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</w:p>
    <w:p w:rsidR="009F471F" w:rsidRDefault="009F471F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</w:p>
    <w:p w:rsidR="00D84986" w:rsidRDefault="00F430C0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 xml:space="preserve">Sur la base </w:t>
      </w:r>
      <w:r w:rsidR="00621D07">
        <w:rPr>
          <w:bCs/>
          <w:i/>
          <w:iCs/>
          <w:sz w:val="23"/>
          <w:szCs w:val="23"/>
        </w:rPr>
        <w:t>de l’</w:t>
      </w:r>
      <w:r w:rsidR="00D84986">
        <w:rPr>
          <w:bCs/>
          <w:i/>
          <w:iCs/>
          <w:sz w:val="23"/>
          <w:szCs w:val="23"/>
        </w:rPr>
        <w:t>origine des produits</w:t>
      </w:r>
      <w:r w:rsidR="00312406">
        <w:rPr>
          <w:bCs/>
          <w:i/>
          <w:iCs/>
          <w:sz w:val="23"/>
          <w:szCs w:val="23"/>
        </w:rPr>
        <w:t xml:space="preserve"> </w:t>
      </w:r>
      <w:r w:rsidR="00D84986">
        <w:rPr>
          <w:bCs/>
          <w:i/>
          <w:iCs/>
          <w:sz w:val="23"/>
          <w:szCs w:val="23"/>
        </w:rPr>
        <w:t>:</w:t>
      </w:r>
    </w:p>
    <w:p w:rsidR="00D84986" w:rsidRDefault="00312406" w:rsidP="00D84986">
      <w:pPr>
        <w:pStyle w:val="Paragraphedeliste"/>
        <w:numPr>
          <w:ilvl w:val="0"/>
          <w:numId w:val="3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 xml:space="preserve">n </w:t>
      </w:r>
      <w:r w:rsidR="008B5AE0">
        <w:rPr>
          <w:bCs/>
          <w:i/>
          <w:iCs/>
          <w:sz w:val="23"/>
          <w:szCs w:val="23"/>
        </w:rPr>
        <w:t>variation</w:t>
      </w:r>
      <w:r w:rsidR="00D84986">
        <w:rPr>
          <w:bCs/>
          <w:i/>
          <w:iCs/>
          <w:sz w:val="23"/>
          <w:szCs w:val="23"/>
        </w:rPr>
        <w:t xml:space="preserve"> mensuel</w:t>
      </w:r>
      <w:r w:rsidR="00C261ED">
        <w:rPr>
          <w:bCs/>
          <w:i/>
          <w:iCs/>
          <w:sz w:val="23"/>
          <w:szCs w:val="23"/>
        </w:rPr>
        <w:t>le</w:t>
      </w:r>
      <w:r w:rsidR="00D84986">
        <w:rPr>
          <w:bCs/>
          <w:i/>
          <w:iCs/>
          <w:sz w:val="23"/>
          <w:szCs w:val="23"/>
        </w:rPr>
        <w:t xml:space="preserve">, les </w:t>
      </w:r>
      <w:r w:rsidR="000E0196">
        <w:rPr>
          <w:bCs/>
          <w:i/>
          <w:iCs/>
          <w:sz w:val="23"/>
          <w:szCs w:val="23"/>
        </w:rPr>
        <w:t>prix</w:t>
      </w:r>
      <w:r w:rsidR="00D84986">
        <w:rPr>
          <w:bCs/>
          <w:i/>
          <w:iCs/>
          <w:sz w:val="23"/>
          <w:szCs w:val="23"/>
        </w:rPr>
        <w:t xml:space="preserve"> </w:t>
      </w:r>
      <w:r w:rsidR="00526702">
        <w:rPr>
          <w:bCs/>
          <w:i/>
          <w:iCs/>
          <w:sz w:val="23"/>
          <w:szCs w:val="23"/>
        </w:rPr>
        <w:t>des</w:t>
      </w:r>
      <w:r w:rsidR="001E237C">
        <w:rPr>
          <w:bCs/>
          <w:i/>
          <w:iCs/>
          <w:sz w:val="23"/>
          <w:szCs w:val="23"/>
        </w:rPr>
        <w:t> </w:t>
      </w:r>
      <w:r w:rsidR="00526702">
        <w:rPr>
          <w:bCs/>
          <w:i/>
          <w:iCs/>
          <w:sz w:val="23"/>
          <w:szCs w:val="23"/>
        </w:rPr>
        <w:t xml:space="preserve"> </w:t>
      </w:r>
      <w:r w:rsidR="001E237C">
        <w:rPr>
          <w:bCs/>
          <w:i/>
          <w:iCs/>
          <w:sz w:val="23"/>
          <w:szCs w:val="23"/>
        </w:rPr>
        <w:t>« </w:t>
      </w:r>
      <w:r w:rsidR="00526702">
        <w:rPr>
          <w:bCs/>
          <w:i/>
          <w:iCs/>
          <w:sz w:val="23"/>
          <w:szCs w:val="23"/>
        </w:rPr>
        <w:t>produits locaux</w:t>
      </w:r>
      <w:r w:rsidR="001E237C">
        <w:rPr>
          <w:bCs/>
          <w:i/>
          <w:iCs/>
          <w:sz w:val="23"/>
          <w:szCs w:val="23"/>
        </w:rPr>
        <w:t xml:space="preserve"> »</w:t>
      </w:r>
      <w:r w:rsidR="00526702">
        <w:rPr>
          <w:bCs/>
          <w:i/>
          <w:iCs/>
          <w:sz w:val="23"/>
          <w:szCs w:val="23"/>
        </w:rPr>
        <w:t xml:space="preserve"> </w:t>
      </w:r>
      <w:r w:rsidR="007C3932">
        <w:rPr>
          <w:bCs/>
          <w:i/>
          <w:iCs/>
          <w:sz w:val="23"/>
          <w:szCs w:val="23"/>
        </w:rPr>
        <w:t xml:space="preserve">ont </w:t>
      </w:r>
      <w:r w:rsidR="0045490B">
        <w:rPr>
          <w:bCs/>
          <w:i/>
          <w:iCs/>
          <w:sz w:val="23"/>
          <w:szCs w:val="23"/>
        </w:rPr>
        <w:t>augmenté</w:t>
      </w:r>
      <w:r w:rsidR="007C3932">
        <w:rPr>
          <w:bCs/>
          <w:i/>
          <w:iCs/>
          <w:sz w:val="23"/>
          <w:szCs w:val="23"/>
        </w:rPr>
        <w:t xml:space="preserve"> de </w:t>
      </w:r>
      <w:r w:rsidR="0045490B">
        <w:rPr>
          <w:b/>
          <w:bCs/>
          <w:i/>
          <w:iCs/>
          <w:sz w:val="23"/>
          <w:szCs w:val="23"/>
        </w:rPr>
        <w:t>1,0</w:t>
      </w:r>
      <w:r w:rsidR="007C3932" w:rsidRPr="001A5768">
        <w:rPr>
          <w:b/>
          <w:bCs/>
          <w:i/>
          <w:iCs/>
          <w:sz w:val="23"/>
          <w:szCs w:val="23"/>
        </w:rPr>
        <w:t xml:space="preserve">% </w:t>
      </w:r>
      <w:r w:rsidR="007C3932">
        <w:rPr>
          <w:bCs/>
          <w:i/>
          <w:iCs/>
          <w:sz w:val="23"/>
          <w:szCs w:val="23"/>
        </w:rPr>
        <w:t xml:space="preserve">alors que </w:t>
      </w:r>
      <w:r w:rsidR="0002731B">
        <w:rPr>
          <w:bCs/>
          <w:i/>
          <w:iCs/>
          <w:sz w:val="23"/>
          <w:szCs w:val="23"/>
        </w:rPr>
        <w:t xml:space="preserve"> </w:t>
      </w:r>
      <w:r w:rsidR="00526702">
        <w:rPr>
          <w:bCs/>
          <w:i/>
          <w:iCs/>
          <w:sz w:val="23"/>
          <w:szCs w:val="23"/>
        </w:rPr>
        <w:t xml:space="preserve">ceux </w:t>
      </w:r>
      <w:r w:rsidR="00D84986">
        <w:rPr>
          <w:bCs/>
          <w:i/>
          <w:iCs/>
          <w:sz w:val="23"/>
          <w:szCs w:val="23"/>
        </w:rPr>
        <w:t xml:space="preserve">des </w:t>
      </w:r>
      <w:r w:rsidR="001E237C">
        <w:rPr>
          <w:bCs/>
          <w:i/>
          <w:iCs/>
          <w:sz w:val="23"/>
          <w:szCs w:val="23"/>
        </w:rPr>
        <w:t>« </w:t>
      </w:r>
      <w:r w:rsidR="00D84986">
        <w:rPr>
          <w:bCs/>
          <w:i/>
          <w:iCs/>
          <w:sz w:val="23"/>
          <w:szCs w:val="23"/>
        </w:rPr>
        <w:t xml:space="preserve">produits </w:t>
      </w:r>
      <w:r w:rsidR="00A15FD7">
        <w:rPr>
          <w:bCs/>
          <w:i/>
          <w:iCs/>
          <w:sz w:val="23"/>
          <w:szCs w:val="23"/>
        </w:rPr>
        <w:t>importés</w:t>
      </w:r>
      <w:r w:rsidR="001E237C">
        <w:rPr>
          <w:bCs/>
          <w:i/>
          <w:iCs/>
          <w:sz w:val="23"/>
          <w:szCs w:val="23"/>
        </w:rPr>
        <w:t xml:space="preserve"> »</w:t>
      </w:r>
      <w:r w:rsidR="00D84986">
        <w:rPr>
          <w:bCs/>
          <w:i/>
          <w:iCs/>
          <w:sz w:val="23"/>
          <w:szCs w:val="23"/>
        </w:rPr>
        <w:t xml:space="preserve"> ont </w:t>
      </w:r>
      <w:r w:rsidR="0045490B">
        <w:rPr>
          <w:bCs/>
          <w:i/>
          <w:iCs/>
          <w:sz w:val="23"/>
          <w:szCs w:val="23"/>
        </w:rPr>
        <w:t>diminué</w:t>
      </w:r>
      <w:r w:rsidR="0002731B">
        <w:rPr>
          <w:bCs/>
          <w:i/>
          <w:iCs/>
          <w:sz w:val="23"/>
          <w:szCs w:val="23"/>
        </w:rPr>
        <w:t xml:space="preserve"> de </w:t>
      </w:r>
      <w:r w:rsidR="001A5768">
        <w:rPr>
          <w:b/>
          <w:bCs/>
          <w:i/>
          <w:iCs/>
          <w:sz w:val="23"/>
          <w:szCs w:val="23"/>
        </w:rPr>
        <w:t>0,</w:t>
      </w:r>
      <w:r w:rsidR="0045490B">
        <w:rPr>
          <w:b/>
          <w:bCs/>
          <w:i/>
          <w:iCs/>
          <w:sz w:val="23"/>
          <w:szCs w:val="23"/>
        </w:rPr>
        <w:t>2</w:t>
      </w:r>
      <w:r w:rsidR="0002731B" w:rsidRPr="0002731B">
        <w:rPr>
          <w:b/>
          <w:bCs/>
          <w:i/>
          <w:iCs/>
          <w:sz w:val="23"/>
          <w:szCs w:val="23"/>
        </w:rPr>
        <w:t>%</w:t>
      </w:r>
      <w:r w:rsidR="007C3932">
        <w:rPr>
          <w:b/>
          <w:bCs/>
          <w:i/>
          <w:iCs/>
          <w:sz w:val="23"/>
          <w:szCs w:val="23"/>
        </w:rPr>
        <w:t> </w:t>
      </w:r>
      <w:r w:rsidR="007C3932">
        <w:rPr>
          <w:bCs/>
          <w:i/>
          <w:iCs/>
          <w:sz w:val="23"/>
          <w:szCs w:val="23"/>
        </w:rPr>
        <w:t>;</w:t>
      </w:r>
    </w:p>
    <w:p w:rsidR="00D84986" w:rsidRDefault="00312406" w:rsidP="00D84986">
      <w:pPr>
        <w:pStyle w:val="Paragraphedeliste"/>
        <w:numPr>
          <w:ilvl w:val="0"/>
          <w:numId w:val="3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>n glissement annuel</w:t>
      </w:r>
      <w:r w:rsidR="00C261ED">
        <w:rPr>
          <w:bCs/>
          <w:i/>
          <w:iCs/>
          <w:sz w:val="23"/>
          <w:szCs w:val="23"/>
        </w:rPr>
        <w:t xml:space="preserve">, les </w:t>
      </w:r>
      <w:r w:rsidR="000E0196">
        <w:rPr>
          <w:bCs/>
          <w:i/>
          <w:iCs/>
          <w:sz w:val="23"/>
          <w:szCs w:val="23"/>
        </w:rPr>
        <w:t>prix</w:t>
      </w:r>
      <w:r w:rsidR="00C261ED">
        <w:rPr>
          <w:bCs/>
          <w:i/>
          <w:iCs/>
          <w:sz w:val="23"/>
          <w:szCs w:val="23"/>
        </w:rPr>
        <w:t xml:space="preserve"> des </w:t>
      </w:r>
      <w:r w:rsidR="001E237C">
        <w:rPr>
          <w:bCs/>
          <w:i/>
          <w:iCs/>
          <w:sz w:val="23"/>
          <w:szCs w:val="23"/>
        </w:rPr>
        <w:t>« </w:t>
      </w:r>
      <w:r w:rsidR="00C261ED">
        <w:rPr>
          <w:bCs/>
          <w:i/>
          <w:iCs/>
          <w:sz w:val="23"/>
          <w:szCs w:val="23"/>
        </w:rPr>
        <w:t>produits locaux</w:t>
      </w:r>
      <w:r w:rsidR="001E237C">
        <w:rPr>
          <w:bCs/>
          <w:i/>
          <w:iCs/>
          <w:sz w:val="23"/>
          <w:szCs w:val="23"/>
        </w:rPr>
        <w:t xml:space="preserve"> »</w:t>
      </w:r>
      <w:r w:rsidR="00D84986">
        <w:rPr>
          <w:bCs/>
          <w:i/>
          <w:iCs/>
          <w:sz w:val="23"/>
          <w:szCs w:val="23"/>
        </w:rPr>
        <w:t xml:space="preserve"> </w:t>
      </w:r>
      <w:r w:rsidR="001A5768">
        <w:rPr>
          <w:bCs/>
          <w:i/>
          <w:iCs/>
          <w:sz w:val="23"/>
          <w:szCs w:val="23"/>
        </w:rPr>
        <w:t xml:space="preserve">ont </w:t>
      </w:r>
      <w:r w:rsidR="0045490B">
        <w:rPr>
          <w:bCs/>
          <w:i/>
          <w:iCs/>
          <w:sz w:val="23"/>
          <w:szCs w:val="23"/>
        </w:rPr>
        <w:t>dimin</w:t>
      </w:r>
      <w:r w:rsidR="00E40A88">
        <w:rPr>
          <w:bCs/>
          <w:i/>
          <w:iCs/>
          <w:sz w:val="23"/>
          <w:szCs w:val="23"/>
        </w:rPr>
        <w:t>u</w:t>
      </w:r>
      <w:r w:rsidR="0045490B">
        <w:rPr>
          <w:bCs/>
          <w:i/>
          <w:iCs/>
          <w:sz w:val="23"/>
          <w:szCs w:val="23"/>
        </w:rPr>
        <w:t>é</w:t>
      </w:r>
      <w:r w:rsidR="001A5768">
        <w:rPr>
          <w:bCs/>
          <w:i/>
          <w:iCs/>
          <w:sz w:val="23"/>
          <w:szCs w:val="23"/>
        </w:rPr>
        <w:t xml:space="preserve"> de </w:t>
      </w:r>
      <w:r w:rsidR="0045490B">
        <w:rPr>
          <w:b/>
          <w:bCs/>
          <w:i/>
          <w:iCs/>
          <w:sz w:val="23"/>
          <w:szCs w:val="23"/>
        </w:rPr>
        <w:t>2,3</w:t>
      </w:r>
      <w:r w:rsidR="001A5768" w:rsidRPr="000D31CD">
        <w:rPr>
          <w:b/>
          <w:bCs/>
          <w:i/>
          <w:iCs/>
          <w:sz w:val="23"/>
          <w:szCs w:val="23"/>
        </w:rPr>
        <w:t>%</w:t>
      </w:r>
      <w:r w:rsidR="001A5768">
        <w:rPr>
          <w:bCs/>
          <w:i/>
          <w:iCs/>
          <w:sz w:val="23"/>
          <w:szCs w:val="23"/>
        </w:rPr>
        <w:t xml:space="preserve"> </w:t>
      </w:r>
      <w:r w:rsidR="00CD4E28">
        <w:rPr>
          <w:bCs/>
          <w:i/>
          <w:iCs/>
          <w:sz w:val="23"/>
          <w:szCs w:val="23"/>
        </w:rPr>
        <w:t xml:space="preserve">et ceux des « produits importés » </w:t>
      </w:r>
      <w:r w:rsidR="003C1788">
        <w:rPr>
          <w:bCs/>
          <w:i/>
          <w:iCs/>
          <w:sz w:val="23"/>
          <w:szCs w:val="23"/>
        </w:rPr>
        <w:t xml:space="preserve">ont </w:t>
      </w:r>
      <w:r w:rsidR="00A91FC8">
        <w:rPr>
          <w:bCs/>
          <w:i/>
          <w:iCs/>
          <w:sz w:val="23"/>
          <w:szCs w:val="23"/>
        </w:rPr>
        <w:t>cru</w:t>
      </w:r>
      <w:r w:rsidR="001A5768">
        <w:rPr>
          <w:bCs/>
          <w:i/>
          <w:iCs/>
          <w:sz w:val="23"/>
          <w:szCs w:val="23"/>
        </w:rPr>
        <w:t xml:space="preserve"> de</w:t>
      </w:r>
      <w:r w:rsidR="005863CE">
        <w:rPr>
          <w:bCs/>
          <w:i/>
          <w:iCs/>
          <w:sz w:val="23"/>
          <w:szCs w:val="23"/>
        </w:rPr>
        <w:t xml:space="preserve"> </w:t>
      </w:r>
      <w:r w:rsidR="0045490B">
        <w:rPr>
          <w:b/>
          <w:bCs/>
          <w:i/>
          <w:iCs/>
          <w:sz w:val="23"/>
          <w:szCs w:val="23"/>
        </w:rPr>
        <w:t>1,1</w:t>
      </w:r>
      <w:r w:rsidR="005863CE" w:rsidRPr="005863CE">
        <w:rPr>
          <w:b/>
          <w:bCs/>
          <w:i/>
          <w:iCs/>
          <w:sz w:val="23"/>
          <w:szCs w:val="23"/>
        </w:rPr>
        <w:t>%</w:t>
      </w:r>
      <w:r w:rsidR="005863CE">
        <w:rPr>
          <w:bCs/>
          <w:i/>
          <w:iCs/>
          <w:sz w:val="23"/>
          <w:szCs w:val="23"/>
        </w:rPr>
        <w:t>.</w:t>
      </w:r>
    </w:p>
    <w:p w:rsidR="00D84986" w:rsidRDefault="00D84986" w:rsidP="00D84986">
      <w:pPr>
        <w:pStyle w:val="Titre5"/>
        <w:spacing w:line="360" w:lineRule="auto"/>
        <w:ind w:left="-142"/>
      </w:pPr>
      <w:r w:rsidRPr="00E6531A">
        <w:rPr>
          <w:rFonts w:ascii="Times New Roman" w:hAnsi="Times New Roman"/>
          <w:sz w:val="23"/>
          <w:szCs w:val="23"/>
        </w:rPr>
        <w:t xml:space="preserve">Taux d’inflation suivant le critère de convergence </w:t>
      </w:r>
      <w:r w:rsidRPr="00E6531A">
        <w:rPr>
          <w:rFonts w:ascii="Times New Roman" w:hAnsi="Times New Roman"/>
          <w:bCs w:val="0"/>
          <w:i w:val="0"/>
          <w:iCs w:val="0"/>
          <w:sz w:val="23"/>
          <w:szCs w:val="23"/>
        </w:rPr>
        <w:t>dans l’espace UEMOA</w:t>
      </w:r>
      <w:r>
        <w:rPr>
          <w:rStyle w:val="Appelnotedebasdep"/>
          <w:b w:val="0"/>
          <w:bCs w:val="0"/>
          <w:i w:val="0"/>
          <w:iCs w:val="0"/>
          <w:sz w:val="23"/>
          <w:szCs w:val="23"/>
        </w:rPr>
        <w:footnoteReference w:id="1"/>
      </w:r>
    </w:p>
    <w:p w:rsidR="00D84986" w:rsidRDefault="00D84986" w:rsidP="00D84986">
      <w:pPr>
        <w:spacing w:line="360" w:lineRule="auto"/>
        <w:ind w:left="-142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Le taux d’inflation</w:t>
      </w:r>
      <w:r w:rsidR="00DD6822">
        <w:rPr>
          <w:bCs/>
          <w:i/>
          <w:iCs/>
          <w:sz w:val="23"/>
          <w:szCs w:val="23"/>
        </w:rPr>
        <w:t xml:space="preserve"> au niveau national</w:t>
      </w:r>
      <w:r w:rsidRPr="00E2556E">
        <w:rPr>
          <w:bCs/>
          <w:i/>
          <w:iCs/>
          <w:sz w:val="23"/>
          <w:szCs w:val="23"/>
        </w:rPr>
        <w:t xml:space="preserve"> en</w:t>
      </w:r>
      <w:r w:rsidR="00A15FD7">
        <w:rPr>
          <w:bCs/>
          <w:i/>
          <w:iCs/>
          <w:sz w:val="23"/>
          <w:szCs w:val="23"/>
        </w:rPr>
        <w:t xml:space="preserve"> </w:t>
      </w:r>
      <w:r w:rsidR="0045490B">
        <w:rPr>
          <w:bCs/>
          <w:i/>
          <w:iCs/>
          <w:sz w:val="23"/>
          <w:szCs w:val="23"/>
        </w:rPr>
        <w:t>octobre</w:t>
      </w:r>
      <w:r w:rsidR="00C43C89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>201</w:t>
      </w:r>
      <w:r w:rsidR="00C43C89">
        <w:rPr>
          <w:bCs/>
          <w:i/>
          <w:iCs/>
          <w:sz w:val="23"/>
          <w:szCs w:val="23"/>
        </w:rPr>
        <w:t>9</w:t>
      </w:r>
      <w:r w:rsidRPr="00E2556E">
        <w:rPr>
          <w:bCs/>
          <w:i/>
          <w:iCs/>
          <w:sz w:val="23"/>
          <w:szCs w:val="23"/>
        </w:rPr>
        <w:t>, suivant la définition adoptée dans l’espace UEMOA,</w:t>
      </w:r>
      <w:r w:rsidR="00A84577">
        <w:rPr>
          <w:bCs/>
          <w:i/>
          <w:iCs/>
          <w:sz w:val="23"/>
          <w:szCs w:val="23"/>
        </w:rPr>
        <w:t xml:space="preserve"> est de </w:t>
      </w:r>
      <w:r w:rsidR="00952C25" w:rsidRPr="00952C25">
        <w:rPr>
          <w:b/>
          <w:bCs/>
          <w:i/>
          <w:iCs/>
          <w:sz w:val="23"/>
          <w:szCs w:val="23"/>
        </w:rPr>
        <w:t>-</w:t>
      </w:r>
      <w:r w:rsidR="001A5768">
        <w:rPr>
          <w:b/>
          <w:bCs/>
          <w:i/>
          <w:iCs/>
          <w:sz w:val="23"/>
          <w:szCs w:val="23"/>
        </w:rPr>
        <w:t>1,1</w:t>
      </w:r>
      <w:r w:rsidRPr="00B01B4C">
        <w:rPr>
          <w:b/>
          <w:bCs/>
          <w:i/>
          <w:iCs/>
          <w:sz w:val="23"/>
          <w:szCs w:val="23"/>
        </w:rPr>
        <w:t>%</w:t>
      </w:r>
      <w:r w:rsidR="0045490B">
        <w:rPr>
          <w:b/>
          <w:bCs/>
          <w:i/>
          <w:iCs/>
          <w:sz w:val="23"/>
          <w:szCs w:val="23"/>
        </w:rPr>
        <w:t xml:space="preserve"> </w:t>
      </w:r>
      <w:r w:rsidR="0045490B">
        <w:rPr>
          <w:bCs/>
          <w:i/>
          <w:iCs/>
          <w:sz w:val="23"/>
          <w:szCs w:val="23"/>
        </w:rPr>
        <w:t xml:space="preserve">comme </w:t>
      </w:r>
      <w:r w:rsidR="0037724D">
        <w:rPr>
          <w:bCs/>
          <w:i/>
          <w:iCs/>
          <w:sz w:val="23"/>
          <w:szCs w:val="23"/>
        </w:rPr>
        <w:t>un mois plus tôt</w:t>
      </w:r>
      <w:r w:rsidR="00A84577" w:rsidRPr="007C63F6">
        <w:rPr>
          <w:bCs/>
          <w:i/>
          <w:iCs/>
          <w:sz w:val="23"/>
          <w:szCs w:val="23"/>
        </w:rPr>
        <w:t>.</w:t>
      </w:r>
      <w:r w:rsidR="00A84577">
        <w:rPr>
          <w:b/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 xml:space="preserve">Ce niveau est en dessous du seuil de </w:t>
      </w:r>
      <w:r w:rsidRPr="00F86E3E">
        <w:rPr>
          <w:bCs/>
          <w:i/>
          <w:iCs/>
          <w:sz w:val="23"/>
          <w:szCs w:val="23"/>
        </w:rPr>
        <w:t>3%</w:t>
      </w:r>
      <w:r w:rsidRPr="00E2556E">
        <w:rPr>
          <w:bCs/>
          <w:i/>
          <w:iCs/>
          <w:sz w:val="23"/>
          <w:szCs w:val="23"/>
        </w:rPr>
        <w:t xml:space="preserve"> fixé dans le cadre de la surveillance multilatérale au sein des Etats membres de l’UEMOA.</w:t>
      </w:r>
    </w:p>
    <w:p w:rsidR="00283A01" w:rsidRPr="00283A01" w:rsidRDefault="006A4CC7" w:rsidP="00283A01">
      <w:pPr>
        <w:pStyle w:val="Titre5"/>
        <w:rPr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Tableau 1: </w:t>
      </w:r>
      <w:r w:rsidRPr="00892DF8">
        <w:rPr>
          <w:rFonts w:ascii="Times New Roman" w:hAnsi="Times New Roman"/>
          <w:sz w:val="24"/>
          <w:szCs w:val="24"/>
        </w:rPr>
        <w:t>Indice Harmonisé des Prix à la Consommation du mois d</w:t>
      </w:r>
      <w:r w:rsidR="00926E22">
        <w:rPr>
          <w:rFonts w:ascii="Times New Roman" w:hAnsi="Times New Roman"/>
          <w:sz w:val="24"/>
          <w:szCs w:val="24"/>
          <w:lang w:val="fr-FR"/>
        </w:rPr>
        <w:t xml:space="preserve">’octobre </w:t>
      </w:r>
      <w:r w:rsidR="003A52EC">
        <w:rPr>
          <w:rFonts w:ascii="Times New Roman" w:hAnsi="Times New Roman"/>
          <w:sz w:val="24"/>
          <w:szCs w:val="24"/>
        </w:rPr>
        <w:t>2019</w:t>
      </w:r>
    </w:p>
    <w:tbl>
      <w:tblPr>
        <w:tblW w:w="10067" w:type="dxa"/>
        <w:tblInd w:w="-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3"/>
        <w:gridCol w:w="590"/>
        <w:gridCol w:w="642"/>
        <w:gridCol w:w="641"/>
        <w:gridCol w:w="801"/>
        <w:gridCol w:w="780"/>
        <w:gridCol w:w="641"/>
        <w:gridCol w:w="643"/>
        <w:gridCol w:w="643"/>
        <w:gridCol w:w="803"/>
      </w:tblGrid>
      <w:tr w:rsidR="00926E22" w:rsidRPr="00926E22" w:rsidTr="00926E22">
        <w:trPr>
          <w:trHeight w:val="315"/>
        </w:trPr>
        <w:tc>
          <w:tcPr>
            <w:tcW w:w="3883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20"/>
                <w:szCs w:val="20"/>
              </w:rPr>
            </w:pPr>
            <w:r w:rsidRPr="00926E2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350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Indice des mois de :</w:t>
            </w:r>
          </w:p>
        </w:tc>
        <w:tc>
          <w:tcPr>
            <w:tcW w:w="2089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Variation depuis :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926E22" w:rsidRPr="00926E22" w:rsidRDefault="00926E22" w:rsidP="00926E22">
            <w:pPr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oct-18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sept-19</w:t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oct-19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juil-19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926E22" w:rsidRPr="00926E22" w:rsidRDefault="00926E22" w:rsidP="00926E22">
            <w:pPr>
              <w:jc w:val="center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août-19</w:t>
            </w: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26E22" w:rsidRPr="00926E22" w:rsidTr="00926E22">
        <w:trPr>
          <w:trHeight w:val="495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0,8%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-0,8%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-0,4%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3751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103,5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97,7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93,5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96,8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3,5%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-6,5%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-5,4%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0,2%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3,6%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3,3%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105,0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103,9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-0,5%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-1,0%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-0,2%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1087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97,4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0,4%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2,4%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0,4%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106,3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106,1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106,0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1,1%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1,8%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-0,5%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0,3%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0,2%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110,3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106,2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-3,7%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8,8%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6,2%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97,6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98,8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98,9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0,5%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1,3%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99,2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-0,3%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1,7%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-0,4%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2,7%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3,5%</w:t>
            </w:r>
          </w:p>
        </w:tc>
      </w:tr>
      <w:tr w:rsidR="00926E22" w:rsidRPr="00926E22" w:rsidTr="00926E22">
        <w:trPr>
          <w:trHeight w:val="300"/>
        </w:trPr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1156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98,4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99,3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0,2%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1,9%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2,8%</w:t>
            </w:r>
          </w:p>
        </w:tc>
      </w:tr>
      <w:tr w:rsidR="00926E22" w:rsidRPr="00926E22" w:rsidTr="00926E22">
        <w:trPr>
          <w:trHeight w:val="315"/>
        </w:trPr>
        <w:tc>
          <w:tcPr>
            <w:tcW w:w="38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b/>
                <w:bCs/>
                <w:sz w:val="18"/>
                <w:szCs w:val="18"/>
              </w:rPr>
            </w:pPr>
            <w:r w:rsidRPr="00926E22">
              <w:rPr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64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102,8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104,4</w:t>
            </w:r>
          </w:p>
        </w:tc>
        <w:tc>
          <w:tcPr>
            <w:tcW w:w="8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26E22">
              <w:rPr>
                <w:rFonts w:ascii="Arial" w:hAnsi="Arial" w:cs="Arial"/>
                <w:sz w:val="18"/>
                <w:szCs w:val="18"/>
              </w:rPr>
              <w:t>106,7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0,3%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2,2%</w:t>
            </w:r>
          </w:p>
        </w:tc>
        <w:tc>
          <w:tcPr>
            <w:tcW w:w="80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926E22" w:rsidRPr="00926E22" w:rsidRDefault="00926E22" w:rsidP="00926E22">
            <w:pPr>
              <w:jc w:val="right"/>
              <w:rPr>
                <w:sz w:val="18"/>
                <w:szCs w:val="18"/>
              </w:rPr>
            </w:pPr>
            <w:r w:rsidRPr="00926E22">
              <w:rPr>
                <w:sz w:val="18"/>
                <w:szCs w:val="18"/>
              </w:rPr>
              <w:t>3,8%</w:t>
            </w:r>
          </w:p>
        </w:tc>
      </w:tr>
    </w:tbl>
    <w:p w:rsidR="00A91FC8" w:rsidRDefault="00A91FC8" w:rsidP="00DF3E40">
      <w:pPr>
        <w:pStyle w:val="Titre4"/>
        <w:spacing w:before="0"/>
        <w:ind w:left="-284"/>
        <w:rPr>
          <w:rFonts w:ascii="Times New Roman" w:hAnsi="Times New Roman"/>
          <w:b w:val="0"/>
          <w:sz w:val="16"/>
          <w:szCs w:val="16"/>
          <w:lang w:val="fr-FR"/>
        </w:rPr>
      </w:pPr>
      <w:r w:rsidRPr="00A91FC8">
        <w:rPr>
          <w:rFonts w:ascii="Times New Roman" w:hAnsi="Times New Roman"/>
          <w:b w:val="0"/>
          <w:sz w:val="16"/>
          <w:szCs w:val="16"/>
          <w:u w:val="single"/>
          <w:lang w:val="fr-FR"/>
        </w:rPr>
        <w:t>Source</w:t>
      </w:r>
      <w:r w:rsidRPr="00A91FC8">
        <w:rPr>
          <w:rFonts w:ascii="Times New Roman" w:hAnsi="Times New Roman"/>
          <w:b w:val="0"/>
          <w:sz w:val="16"/>
          <w:szCs w:val="16"/>
          <w:lang w:val="fr-FR"/>
        </w:rPr>
        <w:t xml:space="preserve"> : INSAE, </w:t>
      </w:r>
      <w:r w:rsidR="00926E22">
        <w:rPr>
          <w:rFonts w:ascii="Times New Roman" w:hAnsi="Times New Roman"/>
          <w:b w:val="0"/>
          <w:sz w:val="16"/>
          <w:szCs w:val="16"/>
          <w:lang w:val="fr-FR"/>
        </w:rPr>
        <w:t xml:space="preserve">octobre </w:t>
      </w:r>
      <w:r w:rsidRPr="00A91FC8">
        <w:rPr>
          <w:rFonts w:ascii="Times New Roman" w:hAnsi="Times New Roman"/>
          <w:b w:val="0"/>
          <w:sz w:val="16"/>
          <w:szCs w:val="16"/>
          <w:lang w:val="fr-FR"/>
        </w:rPr>
        <w:t>2019</w:t>
      </w:r>
    </w:p>
    <w:p w:rsidR="003E3AA5" w:rsidRDefault="003E3AA5" w:rsidP="003E3AA5">
      <w:pPr>
        <w:pStyle w:val="Titre4"/>
        <w:rPr>
          <w:rFonts w:ascii="Times New Roman" w:hAnsi="Times New Roman"/>
          <w:sz w:val="16"/>
          <w:szCs w:val="16"/>
          <w:lang w:val="fr-FR"/>
        </w:rPr>
      </w:pPr>
      <w:r w:rsidRPr="00A91FC8">
        <w:rPr>
          <w:rFonts w:ascii="Times New Roman" w:hAnsi="Times New Roman"/>
          <w:sz w:val="16"/>
          <w:szCs w:val="16"/>
        </w:rPr>
        <w:t>Base 100 : année 2014</w:t>
      </w:r>
    </w:p>
    <w:p w:rsidR="00DF3E40" w:rsidRPr="00DF3E40" w:rsidRDefault="00DF3E40" w:rsidP="00DF3E40">
      <w:pPr>
        <w:rPr>
          <w:lang w:eastAsia="x-none"/>
        </w:rPr>
      </w:pPr>
    </w:p>
    <w:p w:rsidR="00AF6C85" w:rsidRPr="00BB53D4" w:rsidRDefault="00AF6C85" w:rsidP="00AF6C85">
      <w:pPr>
        <w:pStyle w:val="Titre5"/>
        <w:rPr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Tableau </w:t>
      </w:r>
      <w:r>
        <w:rPr>
          <w:rFonts w:ascii="Times New Roman" w:hAnsi="Times New Roman"/>
          <w:sz w:val="24"/>
          <w:szCs w:val="24"/>
          <w:lang w:val="fr-FR"/>
        </w:rPr>
        <w:t>2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fr-FR"/>
        </w:rPr>
        <w:t>Evolution du taux d’inflation</w:t>
      </w:r>
    </w:p>
    <w:tbl>
      <w:tblPr>
        <w:tblW w:w="11087" w:type="dxa"/>
        <w:tblInd w:w="-497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656"/>
        <w:gridCol w:w="656"/>
        <w:gridCol w:w="656"/>
        <w:gridCol w:w="656"/>
        <w:gridCol w:w="656"/>
        <w:gridCol w:w="745"/>
        <w:gridCol w:w="656"/>
        <w:gridCol w:w="656"/>
        <w:gridCol w:w="656"/>
        <w:gridCol w:w="656"/>
        <w:gridCol w:w="754"/>
        <w:gridCol w:w="754"/>
        <w:gridCol w:w="754"/>
      </w:tblGrid>
      <w:tr w:rsidR="00926E22" w:rsidRPr="00BB53D4" w:rsidTr="00926E22">
        <w:trPr>
          <w:trHeight w:val="315"/>
        </w:trPr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Libellé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oct-18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nov-18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déc-18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janv-19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févr-19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mars-19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avr-19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mai-19</w:t>
            </w:r>
          </w:p>
        </w:tc>
        <w:tc>
          <w:tcPr>
            <w:tcW w:w="656" w:type="dxa"/>
            <w:vAlign w:val="bottom"/>
          </w:tcPr>
          <w:p w:rsidR="00926E22" w:rsidRPr="00BB53D4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Juin-19</w:t>
            </w:r>
          </w:p>
        </w:tc>
        <w:tc>
          <w:tcPr>
            <w:tcW w:w="656" w:type="dxa"/>
            <w:vAlign w:val="bottom"/>
          </w:tcPr>
          <w:p w:rsidR="00926E22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Juil-19</w:t>
            </w:r>
          </w:p>
        </w:tc>
        <w:tc>
          <w:tcPr>
            <w:tcW w:w="754" w:type="dxa"/>
            <w:vAlign w:val="bottom"/>
          </w:tcPr>
          <w:p w:rsidR="00926E22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Août-19</w:t>
            </w:r>
          </w:p>
        </w:tc>
        <w:tc>
          <w:tcPr>
            <w:tcW w:w="754" w:type="dxa"/>
            <w:vAlign w:val="bottom"/>
          </w:tcPr>
          <w:p w:rsidR="00926E22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Sept-19</w:t>
            </w:r>
          </w:p>
        </w:tc>
        <w:tc>
          <w:tcPr>
            <w:tcW w:w="754" w:type="dxa"/>
            <w:vAlign w:val="bottom"/>
          </w:tcPr>
          <w:p w:rsidR="00926E22" w:rsidRDefault="00926E22" w:rsidP="00926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Oct-19</w:t>
            </w:r>
          </w:p>
        </w:tc>
      </w:tr>
      <w:tr w:rsidR="00926E22" w:rsidRPr="00BB53D4" w:rsidTr="00926E22">
        <w:trPr>
          <w:trHeight w:val="300"/>
        </w:trPr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1,4%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1,1%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0,9%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0,8%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0,7%</w:t>
            </w:r>
          </w:p>
        </w:tc>
        <w:tc>
          <w:tcPr>
            <w:tcW w:w="656" w:type="dxa"/>
            <w:shd w:val="clear" w:color="auto" w:fill="auto"/>
            <w:noWrap/>
            <w:vAlign w:val="bottom"/>
            <w:hideMark/>
          </w:tcPr>
          <w:p w:rsidR="00926E22" w:rsidRPr="00BB53D4" w:rsidRDefault="00926E22" w:rsidP="00470BC2">
            <w:pPr>
              <w:jc w:val="right"/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0,4%</w:t>
            </w:r>
          </w:p>
        </w:tc>
        <w:tc>
          <w:tcPr>
            <w:tcW w:w="656" w:type="dxa"/>
            <w:vAlign w:val="bottom"/>
          </w:tcPr>
          <w:p w:rsidR="00926E22" w:rsidRPr="00BB53D4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-0,2%</w:t>
            </w:r>
          </w:p>
        </w:tc>
        <w:tc>
          <w:tcPr>
            <w:tcW w:w="656" w:type="dxa"/>
            <w:vAlign w:val="bottom"/>
          </w:tcPr>
          <w:p w:rsidR="00926E22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-0,6%</w:t>
            </w:r>
          </w:p>
        </w:tc>
        <w:tc>
          <w:tcPr>
            <w:tcW w:w="754" w:type="dxa"/>
            <w:vAlign w:val="bottom"/>
          </w:tcPr>
          <w:p w:rsidR="00926E22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-0,9%</w:t>
            </w:r>
          </w:p>
        </w:tc>
        <w:tc>
          <w:tcPr>
            <w:tcW w:w="754" w:type="dxa"/>
            <w:vAlign w:val="bottom"/>
          </w:tcPr>
          <w:p w:rsidR="00926E22" w:rsidRDefault="00926E22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-1,1%</w:t>
            </w:r>
          </w:p>
        </w:tc>
        <w:tc>
          <w:tcPr>
            <w:tcW w:w="754" w:type="dxa"/>
            <w:vAlign w:val="bottom"/>
          </w:tcPr>
          <w:p w:rsidR="00926E22" w:rsidRDefault="00926E22" w:rsidP="00926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-1,1%</w:t>
            </w:r>
          </w:p>
        </w:tc>
      </w:tr>
    </w:tbl>
    <w:p w:rsidR="000709E1" w:rsidRDefault="000709E1" w:rsidP="000709E1">
      <w:pPr>
        <w:ind w:left="-284" w:hanging="142"/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>
        <w:rPr>
          <w:bCs/>
          <w:sz w:val="16"/>
          <w:szCs w:val="16"/>
        </w:rPr>
        <w:t xml:space="preserve"> </w:t>
      </w:r>
      <w:r w:rsidR="006978F8">
        <w:rPr>
          <w:bCs/>
          <w:sz w:val="16"/>
          <w:szCs w:val="16"/>
        </w:rPr>
        <w:t xml:space="preserve">octobre </w:t>
      </w:r>
      <w:r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201</w:t>
      </w:r>
      <w:r>
        <w:rPr>
          <w:bCs/>
          <w:sz w:val="16"/>
          <w:szCs w:val="16"/>
        </w:rPr>
        <w:t>9</w:t>
      </w:r>
    </w:p>
    <w:p w:rsidR="00DF3E40" w:rsidRDefault="00DF3E40" w:rsidP="00810BA2">
      <w:pPr>
        <w:tabs>
          <w:tab w:val="left" w:pos="1740"/>
        </w:tabs>
        <w:rPr>
          <w:b/>
          <w:bCs/>
          <w:i/>
          <w:iCs/>
        </w:rPr>
      </w:pPr>
    </w:p>
    <w:p w:rsidR="009F471F" w:rsidRDefault="009F471F" w:rsidP="00810BA2">
      <w:pPr>
        <w:tabs>
          <w:tab w:val="left" w:pos="1740"/>
        </w:tabs>
        <w:rPr>
          <w:b/>
          <w:bCs/>
          <w:i/>
          <w:iCs/>
        </w:rPr>
      </w:pPr>
    </w:p>
    <w:p w:rsidR="009F471F" w:rsidRDefault="009F471F" w:rsidP="00810BA2">
      <w:pPr>
        <w:tabs>
          <w:tab w:val="left" w:pos="1740"/>
        </w:tabs>
        <w:rPr>
          <w:b/>
          <w:bCs/>
          <w:i/>
          <w:iCs/>
        </w:rPr>
      </w:pPr>
    </w:p>
    <w:p w:rsidR="009F471F" w:rsidRDefault="009F471F" w:rsidP="00810BA2">
      <w:pPr>
        <w:tabs>
          <w:tab w:val="left" w:pos="1740"/>
        </w:tabs>
        <w:rPr>
          <w:b/>
          <w:bCs/>
          <w:i/>
          <w:iCs/>
        </w:rPr>
      </w:pPr>
    </w:p>
    <w:p w:rsidR="009F471F" w:rsidRDefault="009F471F" w:rsidP="00810BA2">
      <w:pPr>
        <w:tabs>
          <w:tab w:val="left" w:pos="1740"/>
        </w:tabs>
        <w:rPr>
          <w:b/>
          <w:bCs/>
          <w:i/>
          <w:iCs/>
        </w:rPr>
      </w:pPr>
    </w:p>
    <w:p w:rsidR="009F471F" w:rsidRDefault="009F471F" w:rsidP="00810BA2">
      <w:pPr>
        <w:tabs>
          <w:tab w:val="left" w:pos="1740"/>
        </w:tabs>
        <w:rPr>
          <w:b/>
          <w:bCs/>
          <w:i/>
          <w:iCs/>
        </w:rPr>
      </w:pPr>
    </w:p>
    <w:p w:rsidR="009F471F" w:rsidRDefault="009F471F" w:rsidP="00810BA2">
      <w:pPr>
        <w:tabs>
          <w:tab w:val="left" w:pos="1740"/>
        </w:tabs>
        <w:rPr>
          <w:b/>
          <w:bCs/>
          <w:i/>
          <w:iCs/>
        </w:rPr>
      </w:pPr>
    </w:p>
    <w:p w:rsidR="009F471F" w:rsidRDefault="009F471F" w:rsidP="00810BA2">
      <w:pPr>
        <w:tabs>
          <w:tab w:val="left" w:pos="1740"/>
        </w:tabs>
        <w:rPr>
          <w:b/>
          <w:bCs/>
          <w:i/>
          <w:iCs/>
        </w:rPr>
      </w:pPr>
    </w:p>
    <w:p w:rsidR="006A4CC7" w:rsidRDefault="00867536" w:rsidP="00810BA2">
      <w:pPr>
        <w:tabs>
          <w:tab w:val="left" w:pos="1740"/>
        </w:tabs>
        <w:rPr>
          <w:b/>
          <w:bCs/>
          <w:i/>
          <w:iCs/>
        </w:rPr>
      </w:pPr>
      <w:r w:rsidRPr="00892DF8">
        <w:rPr>
          <w:b/>
          <w:bCs/>
          <w:i/>
          <w:iCs/>
        </w:rPr>
        <w:t>Graphique1 : Evolution de l'indice global et de l'indice hors</w:t>
      </w:r>
      <w:r w:rsidR="00A02536">
        <w:rPr>
          <w:b/>
          <w:bCs/>
          <w:i/>
          <w:iCs/>
        </w:rPr>
        <w:t xml:space="preserve"> </w:t>
      </w:r>
      <w:r w:rsidRPr="00892DF8">
        <w:rPr>
          <w:b/>
          <w:bCs/>
          <w:i/>
          <w:iCs/>
        </w:rPr>
        <w:t>produits frais et énergétiques</w:t>
      </w:r>
    </w:p>
    <w:p w:rsidR="00252A35" w:rsidRDefault="00783EBA" w:rsidP="007170A6">
      <w:pPr>
        <w:tabs>
          <w:tab w:val="left" w:pos="1740"/>
        </w:tabs>
        <w:rPr>
          <w:noProof/>
          <w:sz w:val="16"/>
          <w:szCs w:val="16"/>
          <w:u w:val="single"/>
        </w:rPr>
      </w:pPr>
      <w:r w:rsidRPr="00926E22">
        <w:rPr>
          <w:noProof/>
          <w:sz w:val="16"/>
          <w:szCs w:val="16"/>
          <w:u w:val="single"/>
        </w:rPr>
        <w:drawing>
          <wp:inline distT="0" distB="0" distL="0" distR="0">
            <wp:extent cx="5729605" cy="1634490"/>
            <wp:effectExtent l="0" t="0" r="0" b="0"/>
            <wp:docPr id="5" name="Graphiqu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170A6" w:rsidRPr="007170A6" w:rsidRDefault="007170A6" w:rsidP="007170A6">
      <w:pPr>
        <w:tabs>
          <w:tab w:val="left" w:pos="1740"/>
        </w:tabs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DD0EC1">
        <w:rPr>
          <w:bCs/>
          <w:sz w:val="16"/>
          <w:szCs w:val="16"/>
        </w:rPr>
        <w:t xml:space="preserve"> </w:t>
      </w:r>
      <w:r w:rsidR="00926E22">
        <w:rPr>
          <w:bCs/>
          <w:sz w:val="16"/>
          <w:szCs w:val="16"/>
        </w:rPr>
        <w:t xml:space="preserve">octobre </w:t>
      </w:r>
      <w:r w:rsidRPr="00E22F01">
        <w:rPr>
          <w:bCs/>
          <w:sz w:val="16"/>
          <w:szCs w:val="16"/>
        </w:rPr>
        <w:t>201</w:t>
      </w:r>
      <w:r>
        <w:rPr>
          <w:bCs/>
          <w:sz w:val="16"/>
          <w:szCs w:val="16"/>
        </w:rPr>
        <w:t>9</w:t>
      </w:r>
    </w:p>
    <w:p w:rsidR="005A3553" w:rsidRDefault="005A3553" w:rsidP="009E60D8"/>
    <w:p w:rsidR="00CA0FDF" w:rsidRDefault="00CA0FDF" w:rsidP="009E60D8"/>
    <w:p w:rsidR="00822644" w:rsidRDefault="00822644" w:rsidP="00822644">
      <w:pPr>
        <w:rPr>
          <w:noProof/>
          <w:sz w:val="21"/>
          <w:szCs w:val="21"/>
        </w:rPr>
      </w:pPr>
      <w:r w:rsidRPr="00324CD7">
        <w:rPr>
          <w:b/>
          <w:bCs/>
          <w:i/>
          <w:iCs/>
        </w:rPr>
        <w:t>Graphique 2 : Evolution</w:t>
      </w:r>
      <w:r w:rsidR="00E0414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mensuelle </w:t>
      </w:r>
      <w:r w:rsidRPr="00324CD7">
        <w:rPr>
          <w:b/>
          <w:bCs/>
          <w:i/>
          <w:iCs/>
        </w:rPr>
        <w:t>de l'indice global et de l'indice des produits alimentaires</w:t>
      </w:r>
    </w:p>
    <w:p w:rsidR="00252A35" w:rsidRDefault="00252A35" w:rsidP="007170A6">
      <w:pPr>
        <w:rPr>
          <w:noProof/>
          <w:sz w:val="16"/>
          <w:szCs w:val="16"/>
          <w:u w:val="single"/>
        </w:rPr>
      </w:pPr>
    </w:p>
    <w:p w:rsidR="00B9076A" w:rsidRDefault="00783EBA" w:rsidP="007170A6">
      <w:pPr>
        <w:rPr>
          <w:noProof/>
          <w:sz w:val="16"/>
          <w:szCs w:val="16"/>
          <w:u w:val="single"/>
        </w:rPr>
      </w:pPr>
      <w:r w:rsidRPr="00926E22">
        <w:rPr>
          <w:noProof/>
          <w:sz w:val="16"/>
          <w:szCs w:val="16"/>
          <w:u w:val="single"/>
        </w:rPr>
        <w:drawing>
          <wp:inline distT="0" distB="0" distL="0" distR="0">
            <wp:extent cx="5543550" cy="1501140"/>
            <wp:effectExtent l="0" t="0" r="0" b="0"/>
            <wp:docPr id="2" name="Graphiqu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70A6" w:rsidRPr="007170A6" w:rsidRDefault="007170A6" w:rsidP="007170A6"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FF46F3">
        <w:rPr>
          <w:bCs/>
          <w:sz w:val="16"/>
          <w:szCs w:val="16"/>
        </w:rPr>
        <w:t xml:space="preserve"> </w:t>
      </w:r>
      <w:r w:rsidR="001A214E">
        <w:rPr>
          <w:bCs/>
          <w:sz w:val="16"/>
          <w:szCs w:val="16"/>
        </w:rPr>
        <w:t xml:space="preserve">octobre </w:t>
      </w:r>
      <w:r w:rsidR="00A067D2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201</w:t>
      </w:r>
      <w:r>
        <w:rPr>
          <w:bCs/>
          <w:sz w:val="16"/>
          <w:szCs w:val="16"/>
        </w:rPr>
        <w:t>9</w:t>
      </w:r>
    </w:p>
    <w:p w:rsidR="000C5887" w:rsidRDefault="000C5887" w:rsidP="00CE036B"/>
    <w:p w:rsidR="000C5887" w:rsidRPr="00324CD7" w:rsidRDefault="000C5887" w:rsidP="000C5887">
      <w:pPr>
        <w:rPr>
          <w:b/>
          <w:bCs/>
          <w:i/>
          <w:iCs/>
        </w:rPr>
      </w:pPr>
      <w:r w:rsidRPr="00324CD7">
        <w:rPr>
          <w:b/>
          <w:bCs/>
          <w:i/>
          <w:iCs/>
        </w:rPr>
        <w:t>Graphique 3 : Evolution mens</w:t>
      </w:r>
      <w:r>
        <w:rPr>
          <w:b/>
          <w:bCs/>
          <w:i/>
          <w:iCs/>
        </w:rPr>
        <w:t>uelle des indices du transport</w:t>
      </w:r>
      <w:r w:rsidRPr="00324CD7">
        <w:rPr>
          <w:b/>
          <w:bCs/>
          <w:i/>
          <w:iCs/>
        </w:rPr>
        <w:t xml:space="preserve"> et logement, eau, gaz, électricité et autres combustibles </w:t>
      </w:r>
    </w:p>
    <w:p w:rsidR="00252A35" w:rsidRDefault="00783EBA" w:rsidP="007170A6">
      <w:pPr>
        <w:rPr>
          <w:noProof/>
          <w:sz w:val="16"/>
          <w:szCs w:val="16"/>
          <w:u w:val="single"/>
        </w:rPr>
      </w:pPr>
      <w:r w:rsidRPr="00792569">
        <w:rPr>
          <w:noProof/>
          <w:sz w:val="16"/>
          <w:szCs w:val="16"/>
          <w:u w:val="single"/>
        </w:rPr>
        <w:drawing>
          <wp:inline distT="0" distB="0" distL="0" distR="0">
            <wp:extent cx="5615940" cy="1548765"/>
            <wp:effectExtent l="0" t="0" r="0" b="0"/>
            <wp:docPr id="3" name="Graphiqu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0A6" w:rsidRDefault="007170A6" w:rsidP="007170A6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DD0EC1">
        <w:rPr>
          <w:bCs/>
          <w:sz w:val="16"/>
          <w:szCs w:val="16"/>
        </w:rPr>
        <w:t xml:space="preserve"> </w:t>
      </w:r>
      <w:r w:rsidR="001A214E">
        <w:rPr>
          <w:bCs/>
          <w:sz w:val="16"/>
          <w:szCs w:val="16"/>
        </w:rPr>
        <w:t>octobre</w:t>
      </w:r>
      <w:r w:rsidR="00332990">
        <w:rPr>
          <w:bCs/>
          <w:sz w:val="16"/>
          <w:szCs w:val="16"/>
        </w:rPr>
        <w:t xml:space="preserve"> </w:t>
      </w:r>
      <w:r w:rsidR="00252A3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201</w:t>
      </w:r>
      <w:r>
        <w:rPr>
          <w:bCs/>
          <w:sz w:val="16"/>
          <w:szCs w:val="16"/>
        </w:rPr>
        <w:t>9</w:t>
      </w:r>
    </w:p>
    <w:p w:rsidR="00135B25" w:rsidRDefault="00135B25" w:rsidP="007170A6">
      <w:pPr>
        <w:rPr>
          <w:bCs/>
          <w:sz w:val="16"/>
          <w:szCs w:val="16"/>
        </w:rPr>
      </w:pPr>
    </w:p>
    <w:p w:rsidR="00135B25" w:rsidRDefault="00135B25" w:rsidP="007170A6">
      <w:pPr>
        <w:rPr>
          <w:bCs/>
          <w:sz w:val="16"/>
          <w:szCs w:val="16"/>
        </w:rPr>
      </w:pPr>
    </w:p>
    <w:p w:rsidR="000709E1" w:rsidRDefault="000709E1" w:rsidP="007170A6">
      <w:pPr>
        <w:rPr>
          <w:bCs/>
          <w:sz w:val="16"/>
          <w:szCs w:val="16"/>
        </w:rPr>
      </w:pPr>
    </w:p>
    <w:p w:rsidR="006978F8" w:rsidRDefault="006978F8" w:rsidP="006978F8">
      <w:pPr>
        <w:rPr>
          <w:b/>
          <w:bCs/>
          <w:i/>
          <w:iCs/>
        </w:rPr>
      </w:pPr>
      <w:r w:rsidRPr="00324CD7">
        <w:rPr>
          <w:b/>
          <w:bCs/>
          <w:i/>
          <w:iCs/>
        </w:rPr>
        <w:t>Graphique 4 : Evolution</w:t>
      </w:r>
      <w:r>
        <w:rPr>
          <w:b/>
          <w:bCs/>
          <w:i/>
          <w:iCs/>
        </w:rPr>
        <w:t xml:space="preserve"> mensuelle</w:t>
      </w:r>
      <w:r w:rsidRPr="00324CD7">
        <w:rPr>
          <w:b/>
          <w:bCs/>
          <w:i/>
          <w:iCs/>
        </w:rPr>
        <w:t xml:space="preserve"> des indices des produits importés et locaux</w:t>
      </w:r>
    </w:p>
    <w:p w:rsidR="006978F8" w:rsidRDefault="00783EBA" w:rsidP="006978F8">
      <w:r w:rsidRPr="0000117B">
        <w:rPr>
          <w:noProof/>
        </w:rPr>
        <w:drawing>
          <wp:inline distT="0" distB="0" distL="0" distR="0">
            <wp:extent cx="5615940" cy="1558290"/>
            <wp:effectExtent l="0" t="0" r="0" b="0"/>
            <wp:docPr id="4" name="Graphiqu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78F8" w:rsidRPr="00AF6C85" w:rsidRDefault="006978F8" w:rsidP="006978F8">
      <w:pPr>
        <w:jc w:val="both"/>
        <w:rPr>
          <w:b/>
          <w:bCs/>
          <w:i/>
          <w:iCs/>
          <w:sz w:val="16"/>
          <w:szCs w:val="16"/>
        </w:rPr>
      </w:pPr>
      <w:r w:rsidRPr="006978F8">
        <w:rPr>
          <w:b/>
          <w:bCs/>
          <w:i/>
          <w:iCs/>
          <w:sz w:val="16"/>
          <w:szCs w:val="16"/>
          <w:u w:val="single"/>
        </w:rPr>
        <w:t>Source </w:t>
      </w:r>
      <w:r>
        <w:rPr>
          <w:b/>
          <w:bCs/>
          <w:i/>
          <w:iCs/>
          <w:sz w:val="16"/>
          <w:szCs w:val="16"/>
        </w:rPr>
        <w:t>: DSS/INSAE, octobre 2019</w:t>
      </w:r>
      <w:r w:rsidRPr="00AF6C85">
        <w:rPr>
          <w:b/>
          <w:bCs/>
          <w:i/>
          <w:iCs/>
          <w:sz w:val="16"/>
          <w:szCs w:val="16"/>
        </w:rPr>
        <w:t xml:space="preserve"> </w:t>
      </w:r>
    </w:p>
    <w:p w:rsidR="000709E1" w:rsidRDefault="000709E1" w:rsidP="007170A6">
      <w:pPr>
        <w:rPr>
          <w:bCs/>
          <w:sz w:val="16"/>
          <w:szCs w:val="16"/>
        </w:rPr>
      </w:pPr>
    </w:p>
    <w:p w:rsidR="000709E1" w:rsidRDefault="000709E1" w:rsidP="007170A6">
      <w:pPr>
        <w:rPr>
          <w:bCs/>
          <w:sz w:val="16"/>
          <w:szCs w:val="16"/>
        </w:rPr>
      </w:pPr>
    </w:p>
    <w:p w:rsidR="000709E1" w:rsidRDefault="000709E1" w:rsidP="007170A6">
      <w:pPr>
        <w:rPr>
          <w:bCs/>
          <w:sz w:val="16"/>
          <w:szCs w:val="16"/>
        </w:rPr>
      </w:pPr>
    </w:p>
    <w:p w:rsidR="000D31CD" w:rsidRDefault="000D31CD" w:rsidP="007170A6">
      <w:pPr>
        <w:rPr>
          <w:bCs/>
          <w:sz w:val="16"/>
          <w:szCs w:val="16"/>
        </w:rPr>
      </w:pPr>
    </w:p>
    <w:p w:rsidR="000D31CD" w:rsidRDefault="000D31CD" w:rsidP="007170A6">
      <w:pPr>
        <w:rPr>
          <w:bCs/>
          <w:sz w:val="16"/>
          <w:szCs w:val="16"/>
        </w:rPr>
      </w:pPr>
    </w:p>
    <w:p w:rsidR="00380E69" w:rsidRDefault="00765EA8" w:rsidP="00477677">
      <w:pPr>
        <w:tabs>
          <w:tab w:val="left" w:pos="960"/>
        </w:tabs>
      </w:pPr>
      <w:r>
        <w:rPr>
          <w:bCs/>
          <w:sz w:val="16"/>
          <w:szCs w:val="16"/>
        </w:rPr>
        <w:tab/>
      </w:r>
      <w:r w:rsidR="00783EB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1157605</wp:posOffset>
                </wp:positionH>
                <wp:positionV relativeFrom="paragraph">
                  <wp:posOffset>46990</wp:posOffset>
                </wp:positionV>
                <wp:extent cx="3579495" cy="581025"/>
                <wp:effectExtent l="0" t="0" r="1905" b="952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0503" w:rsidRPr="00CB2D70" w:rsidRDefault="00040503" w:rsidP="00F774CA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CB2D7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L’indice harmonisé des </w:t>
                            </w:r>
                          </w:p>
                          <w:p w:rsidR="00040503" w:rsidRPr="00CB2D70" w:rsidRDefault="00040503" w:rsidP="00F774CA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CB2D7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prix à la consommation</w:t>
                            </w:r>
                          </w:p>
                          <w:p w:rsidR="00040503" w:rsidRPr="00CB2D70" w:rsidRDefault="00040503" w:rsidP="00F774CA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au Bénin </w:t>
                            </w:r>
                            <w:r w:rsidRPr="00CB2D7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en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octobre 2019</w:t>
                            </w:r>
                          </w:p>
                          <w:p w:rsidR="00040503" w:rsidRDefault="00040503" w:rsidP="00F774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91.15pt;margin-top:3.7pt;width:281.85pt;height:4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2EKwIAAFc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">
                <v:textbox>
                  <w:txbxContent>
                    <w:p w:rsidR="00040503" w:rsidRPr="00CB2D70" w:rsidRDefault="00040503" w:rsidP="00F774CA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CB2D70">
                        <w:rPr>
                          <w:b/>
                          <w:bCs/>
                          <w:sz w:val="23"/>
                          <w:szCs w:val="23"/>
                        </w:rPr>
                        <w:t xml:space="preserve">L’indice harmonisé des </w:t>
                      </w:r>
                    </w:p>
                    <w:p w:rsidR="00040503" w:rsidRPr="00CB2D70" w:rsidRDefault="00040503" w:rsidP="00F774CA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CB2D70">
                        <w:rPr>
                          <w:b/>
                          <w:bCs/>
                          <w:sz w:val="23"/>
                          <w:szCs w:val="23"/>
                        </w:rPr>
                        <w:t>prix à la consommation</w:t>
                      </w:r>
                    </w:p>
                    <w:p w:rsidR="00040503" w:rsidRPr="00CB2D70" w:rsidRDefault="00040503" w:rsidP="00F774CA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au Bénin </w:t>
                      </w:r>
                      <w:r w:rsidRPr="00CB2D70">
                        <w:rPr>
                          <w:b/>
                          <w:bCs/>
                          <w:sz w:val="23"/>
                          <w:szCs w:val="23"/>
                        </w:rPr>
                        <w:t xml:space="preserve">en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octobre 2019</w:t>
                      </w:r>
                    </w:p>
                    <w:p w:rsidR="00040503" w:rsidRDefault="00040503" w:rsidP="00F774CA"/>
                  </w:txbxContent>
                </v:textbox>
              </v:shape>
            </w:pict>
          </mc:Fallback>
        </mc:AlternateContent>
      </w:r>
    </w:p>
    <w:p w:rsidR="00380E69" w:rsidRPr="00380E69" w:rsidRDefault="00380E69" w:rsidP="00380E69"/>
    <w:p w:rsidR="00380E69" w:rsidRPr="00380E69" w:rsidRDefault="00380E69" w:rsidP="00380E69"/>
    <w:p w:rsidR="00380E69" w:rsidRPr="00380E69" w:rsidRDefault="00380E69" w:rsidP="00380E69"/>
    <w:p w:rsidR="00380E69" w:rsidRDefault="00BB53D4" w:rsidP="00C40497">
      <w:pPr>
        <w:outlineLvl w:val="0"/>
      </w:pPr>
      <w:r>
        <w:rPr>
          <w:b/>
          <w:bCs/>
          <w:i/>
          <w:iCs/>
        </w:rPr>
        <w:t>Tableau 3</w:t>
      </w:r>
      <w:r w:rsidR="00C40497">
        <w:rPr>
          <w:b/>
          <w:bCs/>
          <w:i/>
          <w:iCs/>
        </w:rPr>
        <w:t xml:space="preserve"> : </w:t>
      </w:r>
      <w:r w:rsidR="00C40497" w:rsidRPr="00324CD7">
        <w:rPr>
          <w:b/>
          <w:bCs/>
          <w:i/>
          <w:iCs/>
        </w:rPr>
        <w:t xml:space="preserve">IHPC suivant les nomenclatures secondaires en </w:t>
      </w:r>
      <w:r w:rsidR="00792569">
        <w:rPr>
          <w:b/>
          <w:bCs/>
          <w:i/>
          <w:iCs/>
        </w:rPr>
        <w:t>octobre</w:t>
      </w:r>
      <w:r w:rsidR="00252A35">
        <w:rPr>
          <w:b/>
          <w:bCs/>
          <w:i/>
          <w:iCs/>
        </w:rPr>
        <w:t xml:space="preserve"> </w:t>
      </w:r>
      <w:r w:rsidR="00C40497" w:rsidRPr="00324CD7">
        <w:rPr>
          <w:b/>
          <w:bCs/>
          <w:i/>
          <w:iCs/>
        </w:rPr>
        <w:t>201</w:t>
      </w:r>
      <w:r w:rsidR="00076FF7">
        <w:rPr>
          <w:b/>
          <w:bCs/>
          <w:i/>
          <w:iCs/>
        </w:rPr>
        <w:t>9</w:t>
      </w:r>
    </w:p>
    <w:tbl>
      <w:tblPr>
        <w:tblW w:w="100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690"/>
        <w:gridCol w:w="628"/>
        <w:gridCol w:w="943"/>
        <w:gridCol w:w="788"/>
        <w:gridCol w:w="780"/>
        <w:gridCol w:w="628"/>
        <w:gridCol w:w="725"/>
        <w:gridCol w:w="650"/>
        <w:gridCol w:w="774"/>
      </w:tblGrid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792569" w:rsidRPr="00792569" w:rsidRDefault="00792569" w:rsidP="00792569">
            <w:pPr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oct-18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juil-19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août-19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sept-19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oct-19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792569" w:rsidRPr="00792569" w:rsidRDefault="00792569" w:rsidP="00792569">
            <w:pPr>
              <w:jc w:val="center"/>
              <w:rPr>
                <w:b/>
                <w:bCs/>
                <w:sz w:val="18"/>
                <w:szCs w:val="18"/>
              </w:rPr>
            </w:pPr>
            <w:r w:rsidRPr="00792569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global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100,9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101,3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99,7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0,8%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-0,8%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-0,4%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produits frais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105,4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109,7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97,7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93,9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98,0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4,4%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-10,7%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-7,0%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énergie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98,7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94,8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99,2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98,9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-1,4%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4,3%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0,2%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hors énergie, hors produits frais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6644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-0,2%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1,8%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0,5%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secteur primaire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106,5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109,9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97,4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92,0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96,5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4,9%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-12,2%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-9,4%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secteur secondaire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4872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99,8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100,4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0,1%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0,7%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0,0%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secteur tertiaire (services)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102,4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104,3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103,7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-0,6%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3,0%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1,3%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produits importés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2743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101,1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101,5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101,3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-0,2%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1,1%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1,1%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produits locaux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7257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103,2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103,1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99,8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1,0%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-2,2%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-2,3%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des biens durables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96,0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98,6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104,2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103,5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103,4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-0,1%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4,9%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7,7%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des biens semi durables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101,5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99,4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101,8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-1,2%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1,2%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-0,9%</w:t>
            </w:r>
          </w:p>
        </w:tc>
      </w:tr>
      <w:tr w:rsidR="00792569" w:rsidRPr="00792569" w:rsidTr="00792569">
        <w:trPr>
          <w:trHeight w:val="300"/>
        </w:trPr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color w:val="000000"/>
                <w:sz w:val="22"/>
                <w:szCs w:val="22"/>
              </w:rPr>
            </w:pPr>
            <w:r w:rsidRPr="00792569">
              <w:rPr>
                <w:color w:val="000000"/>
                <w:sz w:val="22"/>
                <w:szCs w:val="22"/>
              </w:rPr>
              <w:t>Indice des biens non durables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4877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102,7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104,3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99,2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96,8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99,0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2,3%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-5,1%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-3,6%</w:t>
            </w:r>
          </w:p>
        </w:tc>
      </w:tr>
      <w:tr w:rsidR="00792569" w:rsidRPr="00792569" w:rsidTr="00792569">
        <w:trPr>
          <w:trHeight w:val="315"/>
        </w:trPr>
        <w:tc>
          <w:tcPr>
            <w:tcW w:w="33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792569" w:rsidRDefault="00792569" w:rsidP="00792569">
            <w:pPr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Services</w:t>
            </w:r>
          </w:p>
        </w:tc>
        <w:tc>
          <w:tcPr>
            <w:tcW w:w="6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569" w:rsidRPr="00DF3E40" w:rsidRDefault="00792569" w:rsidP="00792569">
            <w:pPr>
              <w:jc w:val="right"/>
              <w:rPr>
                <w:color w:val="000000"/>
                <w:sz w:val="18"/>
                <w:szCs w:val="18"/>
              </w:rPr>
            </w:pPr>
            <w:r w:rsidRPr="00DF3E40"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102,4</w:t>
            </w:r>
          </w:p>
        </w:tc>
        <w:tc>
          <w:tcPr>
            <w:tcW w:w="9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100,7</w:t>
            </w: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102,0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104,3</w:t>
            </w:r>
          </w:p>
        </w:tc>
        <w:tc>
          <w:tcPr>
            <w:tcW w:w="6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103,7</w:t>
            </w:r>
          </w:p>
        </w:tc>
        <w:tc>
          <w:tcPr>
            <w:tcW w:w="7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-0,6%</w:t>
            </w:r>
          </w:p>
        </w:tc>
        <w:tc>
          <w:tcPr>
            <w:tcW w:w="6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3,0%</w:t>
            </w:r>
          </w:p>
        </w:tc>
        <w:tc>
          <w:tcPr>
            <w:tcW w:w="7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92569" w:rsidRPr="00792569" w:rsidRDefault="00792569" w:rsidP="00792569">
            <w:pPr>
              <w:jc w:val="right"/>
              <w:rPr>
                <w:sz w:val="18"/>
                <w:szCs w:val="18"/>
              </w:rPr>
            </w:pPr>
            <w:r w:rsidRPr="00792569">
              <w:rPr>
                <w:sz w:val="18"/>
                <w:szCs w:val="18"/>
              </w:rPr>
              <w:t>1,3%</w:t>
            </w:r>
          </w:p>
        </w:tc>
      </w:tr>
    </w:tbl>
    <w:p w:rsidR="007170A6" w:rsidRDefault="001A214E" w:rsidP="009E7413">
      <w:pPr>
        <w:ind w:left="-851"/>
        <w:rPr>
          <w:bCs/>
          <w:sz w:val="16"/>
          <w:szCs w:val="16"/>
        </w:rPr>
      </w:pPr>
      <w:r w:rsidRPr="001A214E">
        <w:rPr>
          <w:bCs/>
          <w:sz w:val="16"/>
          <w:szCs w:val="16"/>
        </w:rPr>
        <w:t xml:space="preserve">                     </w:t>
      </w:r>
      <w:r w:rsidR="007170A6" w:rsidRPr="00EF61AD">
        <w:rPr>
          <w:bCs/>
          <w:sz w:val="16"/>
          <w:szCs w:val="16"/>
          <w:u w:val="single"/>
        </w:rPr>
        <w:t>Source</w:t>
      </w:r>
      <w:r w:rsidR="007170A6" w:rsidRPr="00E22F01">
        <w:rPr>
          <w:bCs/>
          <w:sz w:val="16"/>
          <w:szCs w:val="16"/>
        </w:rPr>
        <w:t> : DSS/INSAE,</w:t>
      </w:r>
      <w:r w:rsidR="007170A6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octobre </w:t>
      </w:r>
      <w:r w:rsidR="007170A6" w:rsidRPr="00E22F01">
        <w:rPr>
          <w:bCs/>
          <w:sz w:val="16"/>
          <w:szCs w:val="16"/>
        </w:rPr>
        <w:t>201</w:t>
      </w:r>
      <w:r w:rsidR="007170A6">
        <w:rPr>
          <w:bCs/>
          <w:sz w:val="16"/>
          <w:szCs w:val="16"/>
        </w:rPr>
        <w:t>9</w:t>
      </w:r>
    </w:p>
    <w:p w:rsidR="00D931F3" w:rsidRDefault="00D931F3" w:rsidP="00380E69">
      <w:pPr>
        <w:ind w:firstLine="708"/>
      </w:pPr>
    </w:p>
    <w:p w:rsidR="00D931F3" w:rsidRDefault="00D931F3" w:rsidP="00380E69">
      <w:pPr>
        <w:ind w:firstLine="708"/>
      </w:pPr>
    </w:p>
    <w:p w:rsidR="007B7D3E" w:rsidRDefault="00BB53D4" w:rsidP="007B7D3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Tableau 4</w:t>
      </w:r>
      <w:r w:rsidR="007B7D3E">
        <w:rPr>
          <w:b/>
          <w:bCs/>
          <w:i/>
          <w:iCs/>
        </w:rPr>
        <w:t xml:space="preserve"> : </w:t>
      </w:r>
      <w:r w:rsidR="007B7D3E" w:rsidRPr="00324CD7">
        <w:rPr>
          <w:b/>
          <w:bCs/>
          <w:i/>
          <w:iCs/>
        </w:rPr>
        <w:t xml:space="preserve">IHPC suivant </w:t>
      </w:r>
      <w:r w:rsidR="007970A2">
        <w:rPr>
          <w:b/>
          <w:bCs/>
          <w:i/>
          <w:iCs/>
        </w:rPr>
        <w:t>les régions</w:t>
      </w:r>
      <w:r w:rsidR="00A625DB">
        <w:rPr>
          <w:b/>
          <w:bCs/>
          <w:i/>
          <w:iCs/>
        </w:rPr>
        <w:t xml:space="preserve"> en </w:t>
      </w:r>
      <w:r w:rsidR="00792569">
        <w:rPr>
          <w:b/>
          <w:bCs/>
          <w:i/>
          <w:iCs/>
        </w:rPr>
        <w:t xml:space="preserve">octobre </w:t>
      </w:r>
      <w:r w:rsidR="00A625DB">
        <w:rPr>
          <w:b/>
          <w:bCs/>
          <w:i/>
          <w:iCs/>
        </w:rPr>
        <w:t>2019</w:t>
      </w:r>
    </w:p>
    <w:tbl>
      <w:tblPr>
        <w:tblW w:w="83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764"/>
        <w:gridCol w:w="763"/>
        <w:gridCol w:w="763"/>
        <w:gridCol w:w="763"/>
        <w:gridCol w:w="763"/>
        <w:gridCol w:w="766"/>
        <w:gridCol w:w="765"/>
        <w:gridCol w:w="765"/>
      </w:tblGrid>
      <w:tr w:rsidR="00040503" w:rsidRPr="00040503" w:rsidTr="00040503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040503" w:rsidRPr="00040503" w:rsidRDefault="00040503" w:rsidP="00040503">
            <w:pPr>
              <w:rPr>
                <w:rFonts w:ascii="Arial" w:hAnsi="Arial" w:cs="Arial"/>
                <w:sz w:val="20"/>
                <w:szCs w:val="20"/>
              </w:rPr>
            </w:pPr>
            <w:r w:rsidRPr="000405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3816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Variation depuis :</w:t>
            </w:r>
          </w:p>
        </w:tc>
      </w:tr>
      <w:tr w:rsidR="00040503" w:rsidRPr="00040503" w:rsidTr="00040503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040503" w:rsidRPr="00040503" w:rsidRDefault="00040503" w:rsidP="00040503">
            <w:pPr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 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oct-18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sept-19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oct-19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040503" w:rsidRPr="00040503" w:rsidTr="00040503">
        <w:trPr>
          <w:trHeight w:val="300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juil-19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040503" w:rsidRPr="00040503" w:rsidRDefault="00040503" w:rsidP="00040503">
            <w:pPr>
              <w:jc w:val="center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août-19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40503" w:rsidRPr="00040503" w:rsidTr="00040503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503" w:rsidRPr="00040503" w:rsidRDefault="00040503" w:rsidP="00040503">
            <w:pPr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100,1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100,5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0,8%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-0,8%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-0,4%</w:t>
            </w:r>
          </w:p>
        </w:tc>
      </w:tr>
      <w:tr w:rsidR="00040503" w:rsidRPr="00040503" w:rsidTr="00040503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1,Sud ouest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102,4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101,7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-1,5%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-2,1%</w:t>
            </w:r>
          </w:p>
        </w:tc>
      </w:tr>
      <w:tr w:rsidR="00040503" w:rsidRPr="00040503" w:rsidTr="00040503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2, Sud 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99,1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97,1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1,1%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2,8%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0,7%</w:t>
            </w:r>
          </w:p>
        </w:tc>
      </w:tr>
      <w:tr w:rsidR="00040503" w:rsidRPr="00040503" w:rsidTr="00040503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3,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93,7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98,3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95,0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1,5%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-4,0%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2,9%</w:t>
            </w:r>
          </w:p>
        </w:tc>
      </w:tr>
      <w:tr w:rsidR="00040503" w:rsidRPr="00040503" w:rsidTr="00040503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4, Nord 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b/>
                <w:bCs/>
                <w:sz w:val="18"/>
                <w:szCs w:val="18"/>
              </w:rPr>
            </w:pPr>
            <w:r w:rsidRPr="00040503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105,3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109,6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108,5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107,4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108,5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1,0%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-1,0%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3,0%</w:t>
            </w:r>
          </w:p>
        </w:tc>
      </w:tr>
      <w:tr w:rsidR="00040503" w:rsidRPr="00040503" w:rsidTr="00040503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5,Nord ouest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100,3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102,2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40503">
              <w:rPr>
                <w:rFonts w:ascii="Arial" w:hAnsi="Arial" w:cs="Arial"/>
                <w:sz w:val="18"/>
                <w:szCs w:val="18"/>
              </w:rPr>
              <w:t>100,2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0,8%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-2,1%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040503" w:rsidRPr="00040503" w:rsidRDefault="00040503" w:rsidP="00040503">
            <w:pPr>
              <w:jc w:val="right"/>
              <w:rPr>
                <w:sz w:val="18"/>
                <w:szCs w:val="18"/>
              </w:rPr>
            </w:pPr>
            <w:r w:rsidRPr="00040503">
              <w:rPr>
                <w:sz w:val="18"/>
                <w:szCs w:val="18"/>
              </w:rPr>
              <w:t>-0,1%</w:t>
            </w:r>
          </w:p>
        </w:tc>
      </w:tr>
    </w:tbl>
    <w:p w:rsidR="007170A6" w:rsidRDefault="007170A6" w:rsidP="007170A6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9B17B5">
        <w:rPr>
          <w:bCs/>
          <w:sz w:val="16"/>
          <w:szCs w:val="16"/>
        </w:rPr>
        <w:t xml:space="preserve"> </w:t>
      </w:r>
      <w:r w:rsidR="001A214E">
        <w:rPr>
          <w:bCs/>
          <w:sz w:val="16"/>
          <w:szCs w:val="16"/>
        </w:rPr>
        <w:t xml:space="preserve">octobre </w:t>
      </w:r>
      <w:r w:rsidR="0066054C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201</w:t>
      </w:r>
      <w:r>
        <w:rPr>
          <w:bCs/>
          <w:sz w:val="16"/>
          <w:szCs w:val="16"/>
        </w:rPr>
        <w:t>9</w:t>
      </w:r>
    </w:p>
    <w:p w:rsidR="00B468F8" w:rsidRDefault="00B468F8" w:rsidP="001E36A2"/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C40497" w:rsidRPr="00324CD7" w:rsidRDefault="00765EA8" w:rsidP="00C4049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BB53D4">
        <w:rPr>
          <w:b/>
          <w:bCs/>
          <w:i/>
          <w:iCs/>
        </w:rPr>
        <w:t>Tableau 5</w:t>
      </w:r>
      <w:r w:rsidR="00C40497" w:rsidRPr="00324CD7">
        <w:rPr>
          <w:b/>
          <w:bCs/>
          <w:i/>
          <w:iCs/>
        </w:rPr>
        <w:t> : Prix moyens (en F</w:t>
      </w:r>
      <w:r w:rsidR="00C40497">
        <w:rPr>
          <w:b/>
          <w:bCs/>
          <w:i/>
          <w:iCs/>
        </w:rPr>
        <w:t>.</w:t>
      </w:r>
      <w:r w:rsidR="00C40497" w:rsidRPr="00324CD7">
        <w:rPr>
          <w:b/>
          <w:bCs/>
          <w:i/>
          <w:iCs/>
        </w:rPr>
        <w:t>CFA) de certains produits de première nécessité dans les grandes villes en</w:t>
      </w:r>
      <w:r w:rsidR="00A625DB">
        <w:rPr>
          <w:b/>
          <w:bCs/>
          <w:i/>
          <w:iCs/>
        </w:rPr>
        <w:t xml:space="preserve"> </w:t>
      </w:r>
      <w:r w:rsidR="001A214E">
        <w:rPr>
          <w:b/>
          <w:bCs/>
          <w:i/>
          <w:iCs/>
        </w:rPr>
        <w:t>octobre</w:t>
      </w:r>
      <w:r w:rsidR="00114A17">
        <w:rPr>
          <w:b/>
          <w:bCs/>
          <w:i/>
          <w:iCs/>
        </w:rPr>
        <w:t xml:space="preserve"> 2019</w:t>
      </w:r>
    </w:p>
    <w:tbl>
      <w:tblPr>
        <w:tblW w:w="9740" w:type="dxa"/>
        <w:tblInd w:w="-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0"/>
        <w:gridCol w:w="900"/>
        <w:gridCol w:w="900"/>
        <w:gridCol w:w="900"/>
        <w:gridCol w:w="900"/>
        <w:gridCol w:w="900"/>
        <w:gridCol w:w="900"/>
        <w:gridCol w:w="900"/>
      </w:tblGrid>
      <w:tr w:rsidR="007C3932" w:rsidRPr="006D4B8A" w:rsidTr="007C3932">
        <w:trPr>
          <w:trHeight w:val="375"/>
        </w:trPr>
        <w:tc>
          <w:tcPr>
            <w:tcW w:w="3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7C3932" w:rsidRPr="006D4B8A" w:rsidRDefault="007C3932" w:rsidP="007C3932">
            <w:pPr>
              <w:rPr>
                <w:b/>
                <w:bCs/>
                <w:color w:val="000000"/>
              </w:rPr>
            </w:pPr>
            <w:r w:rsidRPr="006D4B8A">
              <w:rPr>
                <w:b/>
                <w:bCs/>
                <w:color w:val="000000"/>
              </w:rPr>
              <w:t>Produits, prix moyens et variations</w:t>
            </w:r>
          </w:p>
        </w:tc>
        <w:tc>
          <w:tcPr>
            <w:tcW w:w="54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7C3932" w:rsidRPr="006D4B8A" w:rsidRDefault="007C3932" w:rsidP="007C3932">
            <w:pPr>
              <w:jc w:val="center"/>
              <w:rPr>
                <w:b/>
                <w:bCs/>
                <w:color w:val="000000"/>
              </w:rPr>
            </w:pPr>
            <w:r w:rsidRPr="006D4B8A">
              <w:rPr>
                <w:b/>
                <w:bCs/>
                <w:color w:val="000000"/>
              </w:rPr>
              <w:t>Les principales villes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3932" w:rsidRPr="006D4B8A" w:rsidRDefault="007C3932" w:rsidP="007C393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D4B8A">
              <w:rPr>
                <w:b/>
                <w:bCs/>
                <w:color w:val="000000"/>
                <w:sz w:val="16"/>
                <w:szCs w:val="16"/>
              </w:rPr>
              <w:t>Prix moyen national</w:t>
            </w:r>
          </w:p>
        </w:tc>
      </w:tr>
      <w:tr w:rsidR="007C3932" w:rsidRPr="006D4B8A" w:rsidTr="006D4B8A">
        <w:trPr>
          <w:trHeight w:val="330"/>
        </w:trPr>
        <w:tc>
          <w:tcPr>
            <w:tcW w:w="3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932" w:rsidRPr="006D4B8A" w:rsidRDefault="007C3932" w:rsidP="007C3932">
            <w:pPr>
              <w:rPr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7C3932" w:rsidRPr="006D4B8A" w:rsidRDefault="007C3932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Cotonou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7C3932" w:rsidRPr="006D4B8A" w:rsidRDefault="007C3932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Porto-Novo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7C3932" w:rsidRPr="006D4B8A" w:rsidRDefault="007C3932" w:rsidP="006D4B8A">
            <w:pPr>
              <w:jc w:val="center"/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Parakou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7C3932" w:rsidRPr="006D4B8A" w:rsidRDefault="007C3932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Bohicon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7C3932" w:rsidRPr="006D4B8A" w:rsidRDefault="007C3932" w:rsidP="006D4B8A">
            <w:pPr>
              <w:jc w:val="center"/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Natitingou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bottom"/>
            <w:hideMark/>
          </w:tcPr>
          <w:p w:rsidR="007C3932" w:rsidRPr="006D4B8A" w:rsidRDefault="007C3932" w:rsidP="006D4B8A">
            <w:pPr>
              <w:jc w:val="center"/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Lokossa</w:t>
            </w: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932" w:rsidRPr="006D4B8A" w:rsidRDefault="007C3932" w:rsidP="007C3932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A214E" w:rsidRPr="006D4B8A" w:rsidTr="007C3932">
        <w:trPr>
          <w:trHeight w:val="25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Maïs séchés en grains vendu au détail (1KG)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167</w:t>
            </w:r>
          </w:p>
        </w:tc>
      </w:tr>
      <w:tr w:rsidR="001A214E" w:rsidRPr="006D4B8A" w:rsidTr="007C3932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Riz en grains longs vendu au détail(1KG)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502</w:t>
            </w:r>
          </w:p>
        </w:tc>
      </w:tr>
      <w:tr w:rsidR="001A214E" w:rsidRPr="006D4B8A" w:rsidTr="007C3932">
        <w:trPr>
          <w:trHeight w:val="28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Sorgho  (1KG)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289</w:t>
            </w:r>
          </w:p>
        </w:tc>
      </w:tr>
      <w:tr w:rsidR="001A214E" w:rsidRPr="006D4B8A" w:rsidTr="007C3932">
        <w:trPr>
          <w:trHeight w:val="27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Mil  (1KG)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325</w:t>
            </w:r>
          </w:p>
        </w:tc>
      </w:tr>
      <w:tr w:rsidR="001A214E" w:rsidRPr="006D4B8A" w:rsidTr="007C3932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Gari 2ème qualité 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234</w:t>
            </w:r>
          </w:p>
        </w:tc>
      </w:tr>
      <w:tr w:rsidR="001A214E" w:rsidRPr="006D4B8A" w:rsidTr="007C3932">
        <w:trPr>
          <w:trHeight w:val="28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Haricot blanc(1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614</w:t>
            </w:r>
          </w:p>
        </w:tc>
      </w:tr>
      <w:tr w:rsidR="001A214E" w:rsidRPr="006D4B8A" w:rsidTr="007C3932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Ignames(1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276</w:t>
            </w:r>
          </w:p>
        </w:tc>
      </w:tr>
      <w:tr w:rsidR="001A214E" w:rsidRPr="006D4B8A" w:rsidTr="007C3932">
        <w:trPr>
          <w:trHeight w:val="28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Tomate fraiche(1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361</w:t>
            </w:r>
          </w:p>
        </w:tc>
      </w:tr>
      <w:tr w:rsidR="001A214E" w:rsidRPr="006D4B8A" w:rsidTr="007C3932">
        <w:trPr>
          <w:trHeight w:val="27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Piment frais  au kg 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495</w:t>
            </w:r>
          </w:p>
        </w:tc>
      </w:tr>
      <w:tr w:rsidR="001A214E" w:rsidRPr="006D4B8A" w:rsidTr="007C3932">
        <w:trPr>
          <w:trHeight w:val="30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Oignon frais rond(1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872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572</w:t>
            </w:r>
          </w:p>
        </w:tc>
      </w:tr>
      <w:tr w:rsidR="001A214E" w:rsidRPr="006D4B8A" w:rsidTr="007C3932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Huile d'arachide artisanale (1 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967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1030</w:t>
            </w:r>
          </w:p>
        </w:tc>
      </w:tr>
      <w:tr w:rsidR="001A214E" w:rsidRPr="006D4B8A" w:rsidTr="007C3932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Huile de Palme non raffiné (1 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701</w:t>
            </w:r>
          </w:p>
        </w:tc>
      </w:tr>
      <w:tr w:rsidR="001A214E" w:rsidRPr="006D4B8A" w:rsidTr="007C3932">
        <w:trPr>
          <w:trHeight w:val="28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Pétrole lampant vendu en vrac (1 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641</w:t>
            </w:r>
          </w:p>
        </w:tc>
      </w:tr>
      <w:tr w:rsidR="001A214E" w:rsidRPr="006D4B8A" w:rsidTr="007C3932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Essence Kpayo (1 L)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448</w:t>
            </w:r>
          </w:p>
        </w:tc>
      </w:tr>
      <w:tr w:rsidR="001A214E" w:rsidRPr="006D4B8A" w:rsidTr="007C3932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Gaz domestique (12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5560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5675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5633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5643</w:t>
            </w:r>
          </w:p>
        </w:tc>
      </w:tr>
      <w:tr w:rsidR="001A214E" w:rsidRPr="006D4B8A" w:rsidTr="007C3932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Viande de bœuf sans os 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2350</w:t>
            </w:r>
          </w:p>
        </w:tc>
      </w:tr>
      <w:tr w:rsidR="001A214E" w:rsidRPr="006D4B8A" w:rsidTr="007C3932">
        <w:trPr>
          <w:trHeight w:val="28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Viande de mouton (1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2350</w:t>
            </w:r>
          </w:p>
        </w:tc>
      </w:tr>
      <w:tr w:rsidR="001A214E" w:rsidRPr="006D4B8A" w:rsidTr="007C3932">
        <w:trPr>
          <w:trHeight w:val="33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Riz importé Gino (5 KG)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5461</w:t>
            </w:r>
          </w:p>
        </w:tc>
      </w:tr>
      <w:tr w:rsidR="001A214E" w:rsidRPr="006D4B8A" w:rsidTr="007C3932">
        <w:trPr>
          <w:trHeight w:val="315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Ciment NOCIBE (1tonne)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68667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74167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79167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71500</w:t>
            </w:r>
          </w:p>
        </w:tc>
      </w:tr>
      <w:tr w:rsidR="001A214E" w:rsidRPr="006D4B8A" w:rsidTr="007C3932">
        <w:trPr>
          <w:trHeight w:val="270"/>
        </w:trPr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Pr="006D4B8A" w:rsidRDefault="001A214E" w:rsidP="007C3932">
            <w:pPr>
              <w:rPr>
                <w:color w:val="000000"/>
                <w:sz w:val="16"/>
                <w:szCs w:val="16"/>
              </w:rPr>
            </w:pPr>
            <w:r w:rsidRPr="006D4B8A">
              <w:rPr>
                <w:color w:val="000000"/>
                <w:sz w:val="16"/>
                <w:szCs w:val="16"/>
              </w:rPr>
              <w:t>Fer à béton (barre de 8) (1tonne)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499167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A214E" w:rsidRDefault="001A214E">
            <w:pPr>
              <w:jc w:val="right"/>
              <w:rPr>
                <w:rFonts w:ascii="Gill Sans MT" w:hAnsi="Gill Sans MT" w:cs="Calibri"/>
                <w:color w:val="000000"/>
                <w:sz w:val="16"/>
                <w:szCs w:val="16"/>
              </w:rPr>
            </w:pPr>
            <w:r>
              <w:rPr>
                <w:rFonts w:ascii="Gill Sans MT" w:hAnsi="Gill Sans MT" w:cs="Calibri"/>
                <w:color w:val="000000"/>
                <w:sz w:val="16"/>
                <w:szCs w:val="16"/>
              </w:rPr>
              <w:t>496528</w:t>
            </w:r>
          </w:p>
        </w:tc>
      </w:tr>
    </w:tbl>
    <w:p w:rsidR="007C3932" w:rsidRDefault="007C3932" w:rsidP="007C3932">
      <w:pPr>
        <w:ind w:left="-851"/>
        <w:rPr>
          <w:bCs/>
          <w:sz w:val="16"/>
          <w:szCs w:val="16"/>
        </w:rPr>
      </w:pPr>
      <w:r>
        <w:t xml:space="preserve">         </w:t>
      </w:r>
      <w:r w:rsidRPr="00EF61AD">
        <w:rPr>
          <w:bCs/>
          <w:sz w:val="16"/>
          <w:szCs w:val="16"/>
          <w:u w:val="single"/>
        </w:rPr>
        <w:t>Source</w:t>
      </w:r>
      <w:r>
        <w:rPr>
          <w:bCs/>
          <w:sz w:val="16"/>
          <w:szCs w:val="16"/>
          <w:u w:val="single"/>
        </w:rPr>
        <w:t>s</w:t>
      </w:r>
      <w:r w:rsidRPr="00E22F01">
        <w:rPr>
          <w:bCs/>
          <w:sz w:val="16"/>
          <w:szCs w:val="16"/>
        </w:rPr>
        <w:t> : DSS/INSAE</w:t>
      </w:r>
      <w:r>
        <w:rPr>
          <w:bCs/>
          <w:sz w:val="16"/>
          <w:szCs w:val="16"/>
        </w:rPr>
        <w:t>-DDPD</w:t>
      </w:r>
      <w:r w:rsidRPr="00E22F01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r w:rsidR="001A214E">
        <w:rPr>
          <w:bCs/>
          <w:sz w:val="16"/>
          <w:szCs w:val="16"/>
        </w:rPr>
        <w:t>octobre</w:t>
      </w:r>
      <w:r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201</w:t>
      </w:r>
      <w:r>
        <w:rPr>
          <w:bCs/>
          <w:sz w:val="16"/>
          <w:szCs w:val="16"/>
        </w:rPr>
        <w:t>9</w:t>
      </w:r>
    </w:p>
    <w:p w:rsidR="005440FF" w:rsidRDefault="005440FF" w:rsidP="005440FF"/>
    <w:p w:rsidR="00C40497" w:rsidRDefault="009655C3" w:rsidP="005440FF">
      <w:pPr>
        <w:rPr>
          <w:b/>
          <w:bCs/>
          <w:i/>
          <w:iCs/>
        </w:rPr>
      </w:pPr>
      <w:r>
        <w:rPr>
          <w:b/>
          <w:bCs/>
          <w:i/>
          <w:iCs/>
        </w:rPr>
        <w:t>Tableau6</w:t>
      </w:r>
      <w:r w:rsidR="005440FF" w:rsidRPr="00324CD7">
        <w:rPr>
          <w:b/>
          <w:bCs/>
          <w:i/>
          <w:iCs/>
        </w:rPr>
        <w:t> : Evolution</w:t>
      </w:r>
      <w:r w:rsidR="00B01B4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du taux d’inflation dans les pays de l’UEMOA</w:t>
      </w:r>
    </w:p>
    <w:tbl>
      <w:tblPr>
        <w:tblW w:w="84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641"/>
        <w:gridCol w:w="738"/>
        <w:gridCol w:w="719"/>
        <w:gridCol w:w="771"/>
        <w:gridCol w:w="701"/>
        <w:gridCol w:w="712"/>
        <w:gridCol w:w="736"/>
        <w:gridCol w:w="716"/>
        <w:gridCol w:w="810"/>
        <w:gridCol w:w="716"/>
      </w:tblGrid>
      <w:tr w:rsidR="001313B2" w:rsidRPr="001313B2" w:rsidTr="001313B2">
        <w:trPr>
          <w:trHeight w:val="315"/>
        </w:trPr>
        <w:tc>
          <w:tcPr>
            <w:tcW w:w="121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313B2" w:rsidRPr="001313B2" w:rsidRDefault="001313B2" w:rsidP="001313B2">
            <w:pPr>
              <w:rPr>
                <w:rFonts w:ascii="Arial" w:hAnsi="Arial" w:cs="Arial"/>
                <w:sz w:val="20"/>
                <w:szCs w:val="20"/>
              </w:rPr>
            </w:pPr>
            <w:r w:rsidRPr="001313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1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3641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sz w:val="18"/>
                <w:szCs w:val="18"/>
              </w:rPr>
            </w:pPr>
            <w:r w:rsidRPr="001313B2">
              <w:rPr>
                <w:sz w:val="18"/>
                <w:szCs w:val="18"/>
              </w:rPr>
              <w:t>taux d'inflation des mois de :</w:t>
            </w:r>
          </w:p>
        </w:tc>
        <w:tc>
          <w:tcPr>
            <w:tcW w:w="7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sz w:val="18"/>
                <w:szCs w:val="18"/>
              </w:rPr>
            </w:pPr>
            <w:r w:rsidRPr="001313B2">
              <w:rPr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sz w:val="18"/>
                <w:szCs w:val="18"/>
              </w:rPr>
            </w:pPr>
            <w:r w:rsidRPr="001313B2">
              <w:rPr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sz w:val="18"/>
                <w:szCs w:val="18"/>
              </w:rPr>
            </w:pPr>
            <w:r w:rsidRPr="001313B2">
              <w:rPr>
                <w:sz w:val="18"/>
                <w:szCs w:val="18"/>
              </w:rPr>
              <w:t> </w:t>
            </w:r>
          </w:p>
        </w:tc>
        <w:tc>
          <w:tcPr>
            <w:tcW w:w="71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sz w:val="18"/>
                <w:szCs w:val="18"/>
              </w:rPr>
            </w:pPr>
            <w:r w:rsidRPr="001313B2">
              <w:rPr>
                <w:sz w:val="18"/>
                <w:szCs w:val="18"/>
              </w:rPr>
              <w:t> </w:t>
            </w:r>
          </w:p>
        </w:tc>
      </w:tr>
      <w:tr w:rsidR="001313B2" w:rsidRPr="001313B2" w:rsidTr="001313B2">
        <w:trPr>
          <w:trHeight w:val="300"/>
        </w:trPr>
        <w:tc>
          <w:tcPr>
            <w:tcW w:w="12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1313B2" w:rsidRPr="001313B2" w:rsidRDefault="001313B2" w:rsidP="001313B2">
            <w:pPr>
              <w:rPr>
                <w:sz w:val="18"/>
                <w:szCs w:val="18"/>
              </w:rPr>
            </w:pPr>
            <w:r w:rsidRPr="001313B2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janv-19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avr-19</w:t>
            </w:r>
          </w:p>
        </w:tc>
        <w:tc>
          <w:tcPr>
            <w:tcW w:w="7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mai-19</w:t>
            </w:r>
          </w:p>
        </w:tc>
        <w:tc>
          <w:tcPr>
            <w:tcW w:w="7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juin-19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juil-19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août-19</w:t>
            </w: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sept-19</w:t>
            </w:r>
          </w:p>
        </w:tc>
      </w:tr>
      <w:tr w:rsidR="001313B2" w:rsidRPr="001313B2" w:rsidTr="001313B2">
        <w:trPr>
          <w:trHeight w:val="300"/>
        </w:trPr>
        <w:tc>
          <w:tcPr>
            <w:tcW w:w="12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sz w:val="18"/>
                <w:szCs w:val="18"/>
              </w:rPr>
            </w:pPr>
          </w:p>
        </w:tc>
        <w:tc>
          <w:tcPr>
            <w:tcW w:w="641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févr-19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313B2" w:rsidRPr="001313B2" w:rsidRDefault="001313B2" w:rsidP="001313B2">
            <w:pPr>
              <w:jc w:val="center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mars-19</w:t>
            </w:r>
          </w:p>
        </w:tc>
        <w:tc>
          <w:tcPr>
            <w:tcW w:w="7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13B2" w:rsidRPr="001313B2" w:rsidRDefault="001313B2" w:rsidP="001313B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C624A" w:rsidRPr="001313B2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BENIN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760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-1,1</w:t>
            </w:r>
          </w:p>
        </w:tc>
      </w:tr>
      <w:tr w:rsidR="004C624A" w:rsidRPr="001313B2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BURKINA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1258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C624A" w:rsidRP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C624A">
              <w:rPr>
                <w:rFonts w:ascii="Arial" w:hAnsi="Arial" w:cs="Arial"/>
                <w:sz w:val="20"/>
                <w:szCs w:val="20"/>
              </w:rPr>
              <w:t>-2,2</w:t>
            </w:r>
          </w:p>
        </w:tc>
      </w:tr>
      <w:tr w:rsidR="004C624A" w:rsidRPr="004C624A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 xml:space="preserve">COTE </w:t>
            </w:r>
            <w:r w:rsidRPr="001313B2">
              <w:rPr>
                <w:rFonts w:ascii="Arial" w:hAnsi="Arial" w:cs="Arial"/>
                <w:sz w:val="18"/>
                <w:szCs w:val="18"/>
              </w:rPr>
              <w:br/>
              <w:t>D'IVORCE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3131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</w:tr>
      <w:tr w:rsidR="004C624A" w:rsidRPr="001313B2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GUINNEE-</w:t>
            </w:r>
            <w:r w:rsidRPr="001313B2">
              <w:rPr>
                <w:rFonts w:ascii="Arial" w:hAnsi="Arial" w:cs="Arial"/>
                <w:sz w:val="18"/>
                <w:szCs w:val="18"/>
              </w:rPr>
              <w:br/>
              <w:t>BISSAU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</w:tr>
      <w:tr w:rsidR="004C624A" w:rsidRPr="001313B2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MALI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1428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-1,6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-1,9</w:t>
            </w:r>
          </w:p>
        </w:tc>
      </w:tr>
      <w:tr w:rsidR="004C624A" w:rsidRPr="001313B2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NIGER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1111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-1,7</w:t>
            </w:r>
          </w:p>
        </w:tc>
      </w:tr>
      <w:tr w:rsidR="004C624A" w:rsidRPr="001313B2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SENEGAL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1491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</w:tr>
      <w:tr w:rsidR="004C624A" w:rsidRPr="001313B2" w:rsidTr="001313B2">
        <w:trPr>
          <w:trHeight w:val="300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TOGO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b/>
                <w:bCs/>
                <w:sz w:val="18"/>
                <w:szCs w:val="18"/>
              </w:rPr>
            </w:pPr>
            <w:r w:rsidRPr="001313B2">
              <w:rPr>
                <w:b/>
                <w:bCs/>
                <w:sz w:val="18"/>
                <w:szCs w:val="18"/>
              </w:rPr>
              <w:t>681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4C624A" w:rsidRPr="001313B2" w:rsidTr="001313B2">
        <w:trPr>
          <w:trHeight w:val="315"/>
        </w:trPr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UNION</w:t>
            </w:r>
          </w:p>
        </w:tc>
        <w:tc>
          <w:tcPr>
            <w:tcW w:w="6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Pr="001313B2" w:rsidRDefault="004C624A" w:rsidP="001313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13B2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73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7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7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-0,2</w:t>
            </w:r>
          </w:p>
        </w:tc>
        <w:tc>
          <w:tcPr>
            <w:tcW w:w="7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624A" w:rsidRDefault="004C624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-0,4</w:t>
            </w:r>
          </w:p>
        </w:tc>
      </w:tr>
    </w:tbl>
    <w:p w:rsidR="00F978CA" w:rsidRPr="00F978CA" w:rsidRDefault="00F978CA" w:rsidP="00F978CA">
      <w:r w:rsidRPr="00EF61AD">
        <w:rPr>
          <w:bCs/>
          <w:sz w:val="16"/>
          <w:szCs w:val="16"/>
          <w:u w:val="single"/>
        </w:rPr>
        <w:t>Source</w:t>
      </w:r>
      <w:r w:rsidR="00796F5F">
        <w:rPr>
          <w:bCs/>
          <w:sz w:val="16"/>
          <w:szCs w:val="16"/>
          <w:u w:val="single"/>
        </w:rPr>
        <w:t>s</w:t>
      </w:r>
      <w:r w:rsidRPr="00E22F01">
        <w:rPr>
          <w:bCs/>
          <w:sz w:val="16"/>
          <w:szCs w:val="16"/>
        </w:rPr>
        <w:t xml:space="preserve"> : </w:t>
      </w:r>
      <w:r w:rsidR="009655C3">
        <w:rPr>
          <w:bCs/>
          <w:sz w:val="16"/>
          <w:szCs w:val="16"/>
        </w:rPr>
        <w:t>INS</w:t>
      </w:r>
      <w:r w:rsidR="00817345">
        <w:rPr>
          <w:bCs/>
          <w:sz w:val="16"/>
          <w:szCs w:val="16"/>
        </w:rPr>
        <w:t xml:space="preserve"> et </w:t>
      </w:r>
      <w:r w:rsidR="006C7E67">
        <w:rPr>
          <w:bCs/>
          <w:sz w:val="16"/>
          <w:szCs w:val="16"/>
        </w:rPr>
        <w:t>COMMISSION  de l’</w:t>
      </w:r>
      <w:r w:rsidR="009655C3">
        <w:rPr>
          <w:bCs/>
          <w:sz w:val="16"/>
          <w:szCs w:val="16"/>
        </w:rPr>
        <w:t>UEMOA</w:t>
      </w:r>
      <w:r w:rsidRPr="00E22F01">
        <w:rPr>
          <w:bCs/>
          <w:sz w:val="16"/>
          <w:szCs w:val="16"/>
        </w:rPr>
        <w:t>,</w:t>
      </w:r>
      <w:r w:rsidR="001313B2">
        <w:rPr>
          <w:bCs/>
          <w:sz w:val="16"/>
          <w:szCs w:val="16"/>
        </w:rPr>
        <w:t xml:space="preserve"> septembre </w:t>
      </w:r>
      <w:r w:rsidR="009655C3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201</w:t>
      </w:r>
      <w:r>
        <w:rPr>
          <w:bCs/>
          <w:sz w:val="16"/>
          <w:szCs w:val="16"/>
        </w:rPr>
        <w:t>9</w:t>
      </w:r>
    </w:p>
    <w:p w:rsidR="001B2833" w:rsidRDefault="001B2833" w:rsidP="005440FF">
      <w:pPr>
        <w:tabs>
          <w:tab w:val="left" w:pos="2520"/>
        </w:tabs>
        <w:rPr>
          <w:b/>
          <w:bCs/>
          <w:i/>
          <w:iCs/>
        </w:rPr>
      </w:pPr>
    </w:p>
    <w:p w:rsidR="001B2833" w:rsidRDefault="001B2833" w:rsidP="005440FF">
      <w:pPr>
        <w:tabs>
          <w:tab w:val="left" w:pos="2520"/>
        </w:tabs>
        <w:rPr>
          <w:b/>
          <w:bCs/>
          <w:i/>
          <w:iCs/>
        </w:rPr>
      </w:pPr>
    </w:p>
    <w:p w:rsidR="007405B7" w:rsidRDefault="007405B7" w:rsidP="005440FF">
      <w:pPr>
        <w:tabs>
          <w:tab w:val="left" w:pos="2520"/>
        </w:tabs>
        <w:rPr>
          <w:b/>
          <w:bCs/>
          <w:i/>
          <w:iCs/>
        </w:rPr>
      </w:pPr>
    </w:p>
    <w:p w:rsidR="00076FF7" w:rsidRDefault="00076FF7" w:rsidP="005440FF">
      <w:pPr>
        <w:tabs>
          <w:tab w:val="left" w:pos="2520"/>
        </w:tabs>
        <w:rPr>
          <w:b/>
          <w:bCs/>
          <w:i/>
          <w:iCs/>
        </w:rPr>
      </w:pPr>
    </w:p>
    <w:p w:rsidR="00CD4E28" w:rsidRDefault="00CD4E28" w:rsidP="005440FF">
      <w:pPr>
        <w:tabs>
          <w:tab w:val="left" w:pos="2520"/>
        </w:tabs>
        <w:rPr>
          <w:b/>
          <w:bCs/>
          <w:i/>
          <w:iCs/>
        </w:rPr>
      </w:pPr>
    </w:p>
    <w:p w:rsidR="000709E1" w:rsidRDefault="000709E1" w:rsidP="005440FF">
      <w:pPr>
        <w:tabs>
          <w:tab w:val="left" w:pos="2520"/>
        </w:tabs>
        <w:rPr>
          <w:b/>
          <w:bCs/>
          <w:i/>
          <w:iCs/>
        </w:rPr>
      </w:pPr>
    </w:p>
    <w:p w:rsidR="006978F8" w:rsidRDefault="006978F8" w:rsidP="005440FF">
      <w:pPr>
        <w:tabs>
          <w:tab w:val="left" w:pos="2520"/>
        </w:tabs>
        <w:rPr>
          <w:b/>
          <w:bCs/>
          <w:i/>
          <w:iCs/>
        </w:rPr>
      </w:pPr>
    </w:p>
    <w:p w:rsidR="00AD7D1F" w:rsidRDefault="00AD7D1F" w:rsidP="005440FF">
      <w:pPr>
        <w:tabs>
          <w:tab w:val="left" w:pos="2520"/>
        </w:tabs>
        <w:rPr>
          <w:b/>
          <w:bCs/>
          <w:i/>
          <w:iCs/>
        </w:rPr>
      </w:pPr>
    </w:p>
    <w:p w:rsidR="005440FF" w:rsidRDefault="00F8583E" w:rsidP="005440FF">
      <w:pPr>
        <w:tabs>
          <w:tab w:val="left" w:pos="2520"/>
        </w:tabs>
        <w:rPr>
          <w:b/>
          <w:bCs/>
          <w:i/>
          <w:iCs/>
        </w:rPr>
      </w:pPr>
      <w:r w:rsidRPr="00AC0C3D">
        <w:rPr>
          <w:b/>
          <w:bCs/>
          <w:i/>
          <w:iCs/>
        </w:rPr>
        <w:t>Tab</w:t>
      </w:r>
      <w:r w:rsidR="009655C3">
        <w:rPr>
          <w:b/>
          <w:bCs/>
          <w:i/>
          <w:iCs/>
        </w:rPr>
        <w:t>leau 7</w:t>
      </w:r>
      <w:r w:rsidR="00585025">
        <w:rPr>
          <w:b/>
          <w:bCs/>
          <w:i/>
          <w:iCs/>
        </w:rPr>
        <w:t> : Indice groupe</w:t>
      </w:r>
      <w:r w:rsidRPr="00AC0C3D">
        <w:rPr>
          <w:b/>
          <w:bCs/>
          <w:i/>
          <w:iCs/>
        </w:rPr>
        <w:t xml:space="preserve"> : </w:t>
      </w:r>
      <w:r w:rsidR="00792569">
        <w:rPr>
          <w:b/>
          <w:bCs/>
          <w:i/>
          <w:iCs/>
        </w:rPr>
        <w:t>octobre</w:t>
      </w:r>
      <w:r w:rsidR="00CD4E28">
        <w:rPr>
          <w:b/>
          <w:bCs/>
          <w:i/>
          <w:iCs/>
        </w:rPr>
        <w:t xml:space="preserve"> </w:t>
      </w:r>
      <w:r w:rsidR="00114A17">
        <w:rPr>
          <w:b/>
          <w:bCs/>
          <w:i/>
          <w:iCs/>
        </w:rPr>
        <w:t>2019</w:t>
      </w:r>
    </w:p>
    <w:tbl>
      <w:tblPr>
        <w:tblW w:w="95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3976"/>
        <w:gridCol w:w="421"/>
        <w:gridCol w:w="569"/>
        <w:gridCol w:w="568"/>
        <w:gridCol w:w="568"/>
        <w:gridCol w:w="568"/>
        <w:gridCol w:w="568"/>
        <w:gridCol w:w="563"/>
        <w:gridCol w:w="562"/>
        <w:gridCol w:w="584"/>
      </w:tblGrid>
      <w:tr w:rsidR="00B23563" w:rsidRPr="00B23563" w:rsidTr="00792569">
        <w:trPr>
          <w:trHeight w:val="240"/>
        </w:trPr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39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Indice groupe de la NCOA-IHPC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sz w:val="12"/>
                <w:szCs w:val="12"/>
              </w:rPr>
            </w:pPr>
            <w:r w:rsidRPr="00B23563">
              <w:rPr>
                <w:sz w:val="12"/>
                <w:szCs w:val="12"/>
              </w:rPr>
              <w:t xml:space="preserve">Indices pour les mois de 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sz w:val="12"/>
                <w:szCs w:val="12"/>
              </w:rPr>
            </w:pPr>
            <w:r w:rsidRPr="00B23563">
              <w:rPr>
                <w:sz w:val="12"/>
                <w:szCs w:val="12"/>
              </w:rPr>
              <w:t>Variation en % depuis</w:t>
            </w:r>
          </w:p>
        </w:tc>
      </w:tr>
      <w:tr w:rsidR="00B23563" w:rsidRPr="00B23563" w:rsidTr="00792569">
        <w:trPr>
          <w:trHeight w:val="252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B23563" w:rsidRPr="00B23563" w:rsidRDefault="00B23563" w:rsidP="00B23563">
            <w:pPr>
              <w:rPr>
                <w:sz w:val="12"/>
                <w:szCs w:val="12"/>
              </w:rPr>
            </w:pPr>
            <w:r w:rsidRPr="00B23563">
              <w:rPr>
                <w:sz w:val="12"/>
                <w:szCs w:val="12"/>
              </w:rPr>
              <w:t> </w:t>
            </w:r>
          </w:p>
        </w:tc>
        <w:tc>
          <w:tcPr>
            <w:tcW w:w="39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3563" w:rsidRPr="00B23563" w:rsidRDefault="00B23563" w:rsidP="00B23563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Poids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sept-18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juin-19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juil-19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août-19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sept-19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1 mois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3 mois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B23563" w:rsidRPr="00B23563" w:rsidRDefault="00B23563" w:rsidP="00B23563">
            <w:pPr>
              <w:jc w:val="center"/>
              <w:rPr>
                <w:b/>
                <w:bCs/>
                <w:sz w:val="12"/>
                <w:szCs w:val="12"/>
              </w:rPr>
            </w:pPr>
            <w:r w:rsidRPr="00B23563">
              <w:rPr>
                <w:b/>
                <w:bCs/>
                <w:sz w:val="12"/>
                <w:szCs w:val="12"/>
              </w:rPr>
              <w:t>12 mois</w:t>
            </w:r>
          </w:p>
        </w:tc>
      </w:tr>
      <w:tr w:rsidR="00B23563" w:rsidRPr="00B23563" w:rsidTr="00792569">
        <w:trPr>
          <w:trHeight w:val="21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Alimentation et boisson non alcoolisées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563" w:rsidRPr="00B23563" w:rsidRDefault="00B23563" w:rsidP="00B235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3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Produits alimentaires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3695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93,3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3,6%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-6,6%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-5,4%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Boissons non alcoolisees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56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1,1%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-7,7%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Boissons alcoolisées, tabac et stupéfiant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021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Boissons alcoolisees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2,9%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2,7%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Tabacs et stupefiants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109,4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109,0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112,4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115,2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5,7%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5,3%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Articles d'habillement et chaussures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031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Articles d'habillement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446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-0,6%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-0,9%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-0,2%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032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Chaussures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63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-1,7%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-0,1%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Logement, eau, électricité, gaz et autres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Loyers effectifs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300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1,1%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4,8%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043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Entretien et reparation des logements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48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94,3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3,5%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9,7%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044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Alimentation en eau et services divers lié au logement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195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88,3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88,5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0,7%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-11,7%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045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Electricite, gaz et autres combustibles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544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3,5%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1,5%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Meubles, articles de ménages et entretien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051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Meubles , articles d'ameublement, tapis et autres revêtement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38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117,3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8,1%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8,5%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052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Articles de ménage en textiles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3,4%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-3,0%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053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Appareils menagers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3,6%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2,2%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054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Verrerie, vaisselle et ustensiles de menag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1,5%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055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Outillage et autre matériel pour la maison et le jardin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109,8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1,6%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1,2%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3,1%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056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Biens et services liés à l'entretien courant du foyer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134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-0,4%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-1,2%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Santé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061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Produits, appareils et matériels médicaux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215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-0,6%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0,2%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062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ambulatoires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76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0,4%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3,6%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4,1%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063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hospitaliers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165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-1,4%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-1,4%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Transport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071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Achat de véhicules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72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95,9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4,3%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7,0%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072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Dépenses d'utilisation des véhicules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669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93,4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95,5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-2,4%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3,5%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-1,5%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073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de transport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361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109,2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134,0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125,7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-6,2%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18,1%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19,4%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Communication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081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postaux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-1,7%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-1,8%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0,3%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082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Matériel de téléphonie et de télécopie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43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-1,6%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-1,6%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6,6%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083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de téléphonie et de télécopie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394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0,8%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0,8%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Loisirs et cultures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091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Matériel audiovisuel, photographique et de traitement de l'image et du son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95,6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-1,9%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093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Autres articles et matériel de loisirs, de jardinage et anim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-5,0%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-5,0%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094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récréatifs et culturels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95,1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6,0%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-6,8%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095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Journaux, livres et articles de papeterie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117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-0,8%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3,0%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096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Forfaits touristiques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91,8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-0,3%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8,4%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Enseignements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101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Enseignement pré-élémentaire et primaire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162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92,6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4,8%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16,6%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102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Enseignement secondaire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230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91,1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-0,1%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2,5%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9,5%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104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Enseignement supérieur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100,5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-0,5%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-0,3%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-22,7%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Enseignement post-secondaire non supérieur et Enseignement non défini par niveau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66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95,3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107,0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-1,9%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2,7%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10,2%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Restaurants et hôtel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de restauration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1129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98,6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99,4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2,8%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d'hébergement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27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94,4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97,0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-0,7%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2,0%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4,4%</w:t>
            </w:r>
          </w:p>
        </w:tc>
      </w:tr>
      <w:tr w:rsidR="00792569" w:rsidRPr="00B23563" w:rsidTr="00792569">
        <w:trPr>
          <w:trHeight w:val="18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23563">
              <w:rPr>
                <w:rFonts w:ascii="Calibri" w:hAnsi="Calibri" w:cs="Calibri"/>
                <w:color w:val="000000"/>
                <w:sz w:val="16"/>
                <w:szCs w:val="16"/>
              </w:rPr>
              <w:t>Biens et services divers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B23563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Soins corporels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281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107,2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3,0%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Effets personnels n.c.a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30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105,6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-0,9%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2,3%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-0,6%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Protection sociale et assurance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82,4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92,4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92,9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93,2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13,1%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-8,0%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Services financiers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92,8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96,7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2,6%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6,9%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11,6%</w:t>
            </w:r>
          </w:p>
        </w:tc>
      </w:tr>
      <w:tr w:rsidR="00792569" w:rsidRPr="00B23563" w:rsidTr="00792569">
        <w:trPr>
          <w:trHeight w:val="180"/>
        </w:trPr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127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Autres services n.c.a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Pr="00B23563" w:rsidRDefault="00792569" w:rsidP="00B23563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B23563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101,4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102,6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108,3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106,8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107,0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4,3%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569" w:rsidRDefault="00792569">
            <w:pPr>
              <w:jc w:val="right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>5,5%</w:t>
            </w:r>
          </w:p>
        </w:tc>
      </w:tr>
    </w:tbl>
    <w:p w:rsidR="00FE1021" w:rsidRDefault="00FE1021" w:rsidP="00FE1021">
      <w:pPr>
        <w:spacing w:before="120"/>
        <w:rPr>
          <w:sz w:val="14"/>
          <w:szCs w:val="14"/>
        </w:rPr>
      </w:pPr>
      <w:r>
        <w:rPr>
          <w:sz w:val="14"/>
          <w:szCs w:val="14"/>
        </w:rPr>
        <w:t xml:space="preserve">* </w:t>
      </w:r>
      <w:r w:rsidRPr="003A5D60">
        <w:rPr>
          <w:sz w:val="14"/>
          <w:szCs w:val="14"/>
        </w:rPr>
        <w:t>n.</w:t>
      </w:r>
      <w:r w:rsidR="00275554">
        <w:rPr>
          <w:sz w:val="14"/>
          <w:szCs w:val="14"/>
        </w:rPr>
        <w:t>c.a : non classés</w:t>
      </w:r>
      <w:r>
        <w:rPr>
          <w:sz w:val="14"/>
          <w:szCs w:val="14"/>
        </w:rPr>
        <w:t xml:space="preserve"> ailleurs.</w:t>
      </w:r>
    </w:p>
    <w:p w:rsidR="00FE1021" w:rsidRDefault="00FE1021" w:rsidP="00FE1021">
      <w:pPr>
        <w:spacing w:before="120"/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</w:t>
      </w:r>
      <w:r w:rsidR="000D3A78" w:rsidRPr="00E22F01">
        <w:rPr>
          <w:bCs/>
          <w:sz w:val="16"/>
          <w:szCs w:val="16"/>
        </w:rPr>
        <w:t>INSAE,</w:t>
      </w:r>
      <w:r w:rsidR="00526702">
        <w:rPr>
          <w:bCs/>
          <w:sz w:val="16"/>
          <w:szCs w:val="16"/>
        </w:rPr>
        <w:t xml:space="preserve"> </w:t>
      </w:r>
      <w:r w:rsidR="001A214E">
        <w:rPr>
          <w:bCs/>
          <w:sz w:val="16"/>
          <w:szCs w:val="16"/>
        </w:rPr>
        <w:t>octobre</w:t>
      </w:r>
      <w:r w:rsidR="000D3A78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201</w:t>
      </w:r>
      <w:r w:rsidR="00A00269">
        <w:rPr>
          <w:bCs/>
          <w:sz w:val="16"/>
          <w:szCs w:val="16"/>
        </w:rPr>
        <w:t>9</w:t>
      </w:r>
    </w:p>
    <w:p w:rsidR="00DA44D9" w:rsidRPr="003A5D60" w:rsidRDefault="00DA44D9" w:rsidP="00FE1021">
      <w:pPr>
        <w:spacing w:before="120"/>
        <w:rPr>
          <w:sz w:val="14"/>
          <w:szCs w:val="14"/>
        </w:rPr>
      </w:pPr>
    </w:p>
    <w:p w:rsidR="00FE1021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b/>
          <w:bCs/>
          <w:sz w:val="16"/>
          <w:szCs w:val="16"/>
        </w:rPr>
      </w:pPr>
      <w:r w:rsidRPr="00727AE7">
        <w:rPr>
          <w:b/>
          <w:bCs/>
          <w:sz w:val="16"/>
          <w:szCs w:val="16"/>
        </w:rPr>
        <w:t>Institut National de la Statistique et de l’Analyse Economique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b/>
          <w:bCs/>
          <w:sz w:val="16"/>
          <w:szCs w:val="16"/>
        </w:rPr>
      </w:pP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sz w:val="16"/>
          <w:szCs w:val="16"/>
        </w:rPr>
      </w:pPr>
      <w:r w:rsidRPr="00727AE7">
        <w:rPr>
          <w:sz w:val="16"/>
          <w:szCs w:val="16"/>
        </w:rPr>
        <w:t>01 BP 323</w:t>
      </w:r>
      <w:r>
        <w:rPr>
          <w:sz w:val="16"/>
          <w:szCs w:val="16"/>
        </w:rPr>
        <w:t> ;</w:t>
      </w:r>
      <w:r w:rsidR="00A02536">
        <w:rPr>
          <w:sz w:val="16"/>
          <w:szCs w:val="16"/>
        </w:rPr>
        <w:t xml:space="preserve"> </w:t>
      </w:r>
      <w:r w:rsidRPr="00727AE7">
        <w:rPr>
          <w:sz w:val="16"/>
          <w:szCs w:val="16"/>
        </w:rPr>
        <w:t>Tél. (229) 21 30 82 44 /21 30 82 45</w:t>
      </w:r>
      <w:r>
        <w:rPr>
          <w:sz w:val="16"/>
          <w:szCs w:val="16"/>
        </w:rPr>
        <w:t> ;</w:t>
      </w:r>
      <w:r w:rsidR="00A02536">
        <w:rPr>
          <w:sz w:val="16"/>
          <w:szCs w:val="16"/>
        </w:rPr>
        <w:t xml:space="preserve"> </w:t>
      </w:r>
      <w:r w:rsidRPr="00727AE7">
        <w:rPr>
          <w:sz w:val="16"/>
          <w:szCs w:val="16"/>
        </w:rPr>
        <w:t>Fax: (229) 21 30 82 46</w:t>
      </w:r>
    </w:p>
    <w:p w:rsidR="00FE1021" w:rsidRPr="002F731B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sz w:val="16"/>
          <w:szCs w:val="16"/>
        </w:rPr>
      </w:pPr>
      <w:r w:rsidRPr="00727AE7">
        <w:rPr>
          <w:sz w:val="16"/>
          <w:szCs w:val="16"/>
        </w:rPr>
        <w:t>Dire</w:t>
      </w:r>
      <w:r>
        <w:rPr>
          <w:sz w:val="16"/>
          <w:szCs w:val="16"/>
        </w:rPr>
        <w:t>cteur Général</w:t>
      </w:r>
      <w:r w:rsidR="00605B09">
        <w:rPr>
          <w:sz w:val="16"/>
          <w:szCs w:val="16"/>
        </w:rPr>
        <w:t> </w:t>
      </w:r>
      <w:r>
        <w:rPr>
          <w:sz w:val="16"/>
          <w:szCs w:val="16"/>
        </w:rPr>
        <w:t>: HOUNSA Laurent Mahounou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Direct</w:t>
      </w:r>
      <w:r w:rsidR="00275554">
        <w:rPr>
          <w:sz w:val="16"/>
          <w:szCs w:val="16"/>
        </w:rPr>
        <w:t>rice</w:t>
      </w:r>
      <w:r w:rsidRPr="00727AE7">
        <w:rPr>
          <w:sz w:val="16"/>
          <w:szCs w:val="16"/>
        </w:rPr>
        <w:t xml:space="preserve"> Général</w:t>
      </w:r>
      <w:r w:rsidR="00E04145">
        <w:rPr>
          <w:sz w:val="16"/>
          <w:szCs w:val="16"/>
        </w:rPr>
        <w:t>e</w:t>
      </w:r>
      <w:r w:rsidRPr="00727AE7">
        <w:rPr>
          <w:sz w:val="16"/>
          <w:szCs w:val="16"/>
        </w:rPr>
        <w:t xml:space="preserve"> Adjoint</w:t>
      </w:r>
      <w:r w:rsidR="00E04145">
        <w:rPr>
          <w:sz w:val="16"/>
          <w:szCs w:val="16"/>
        </w:rPr>
        <w:t>e</w:t>
      </w:r>
      <w:r w:rsidRPr="00727AE7">
        <w:rPr>
          <w:sz w:val="16"/>
          <w:szCs w:val="16"/>
        </w:rPr>
        <w:t> </w:t>
      </w:r>
      <w:r w:rsidR="00203D66" w:rsidRPr="00727AE7">
        <w:rPr>
          <w:sz w:val="16"/>
          <w:szCs w:val="16"/>
        </w:rPr>
        <w:t>:</w:t>
      </w:r>
      <w:r w:rsidR="00203D66">
        <w:rPr>
          <w:sz w:val="16"/>
          <w:szCs w:val="16"/>
        </w:rPr>
        <w:t xml:space="preserve"> AHAMIDE MEANGOUA  H. </w:t>
      </w:r>
      <w:r>
        <w:rPr>
          <w:sz w:val="16"/>
          <w:szCs w:val="16"/>
        </w:rPr>
        <w:t xml:space="preserve"> Armelle</w:t>
      </w:r>
      <w:r w:rsidR="00203D66">
        <w:rPr>
          <w:sz w:val="16"/>
          <w:szCs w:val="16"/>
        </w:rPr>
        <w:t xml:space="preserve">  C.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Direct</w:t>
      </w:r>
      <w:r>
        <w:rPr>
          <w:sz w:val="16"/>
          <w:szCs w:val="16"/>
        </w:rPr>
        <w:t>rice</w:t>
      </w:r>
      <w:r w:rsidRPr="00727AE7">
        <w:rPr>
          <w:sz w:val="16"/>
          <w:szCs w:val="16"/>
        </w:rPr>
        <w:t xml:space="preserve"> des Statistiques Sociales :</w:t>
      </w:r>
      <w:r>
        <w:rPr>
          <w:sz w:val="16"/>
          <w:szCs w:val="16"/>
        </w:rPr>
        <w:t xml:space="preserve"> AHOVEY A. Elise C.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Chef Service</w:t>
      </w:r>
      <w:r>
        <w:rPr>
          <w:sz w:val="16"/>
          <w:szCs w:val="16"/>
        </w:rPr>
        <w:t xml:space="preserve"> des</w:t>
      </w:r>
      <w:r w:rsidRPr="00727AE7">
        <w:rPr>
          <w:sz w:val="16"/>
          <w:szCs w:val="16"/>
        </w:rPr>
        <w:t xml:space="preserve"> Condition</w:t>
      </w:r>
      <w:r>
        <w:rPr>
          <w:sz w:val="16"/>
          <w:szCs w:val="16"/>
        </w:rPr>
        <w:t>s</w:t>
      </w:r>
      <w:r w:rsidRPr="00727AE7">
        <w:rPr>
          <w:sz w:val="16"/>
          <w:szCs w:val="16"/>
        </w:rPr>
        <w:t xml:space="preserve"> de Vie des Ménages</w:t>
      </w:r>
      <w:r>
        <w:rPr>
          <w:sz w:val="16"/>
          <w:szCs w:val="16"/>
        </w:rPr>
        <w:t xml:space="preserve"> : </w:t>
      </w:r>
      <w:r w:rsidRPr="00727AE7">
        <w:rPr>
          <w:sz w:val="16"/>
          <w:szCs w:val="16"/>
        </w:rPr>
        <w:t>DANSOU Sylvestre</w:t>
      </w:r>
    </w:p>
    <w:p w:rsidR="00FE1021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Collaborateur</w:t>
      </w:r>
      <w:r>
        <w:rPr>
          <w:sz w:val="16"/>
          <w:szCs w:val="16"/>
        </w:rPr>
        <w:t> </w:t>
      </w:r>
      <w:r w:rsidRPr="00727AE7">
        <w:rPr>
          <w:sz w:val="16"/>
          <w:szCs w:val="16"/>
        </w:rPr>
        <w:t>: ADJOVI Y.A. Claude</w:t>
      </w:r>
    </w:p>
    <w:p w:rsidR="00FE1021" w:rsidRPr="005440FF" w:rsidRDefault="00FE1021" w:rsidP="008E493B">
      <w:pPr>
        <w:jc w:val="center"/>
      </w:pPr>
      <w:r>
        <w:rPr>
          <w:sz w:val="16"/>
          <w:szCs w:val="16"/>
        </w:rPr>
        <w:t>La présente publication est vendue au prix de 500 FCFA</w:t>
      </w:r>
    </w:p>
    <w:sectPr w:rsidR="00FE1021" w:rsidRPr="005440FF" w:rsidSect="00AD7D1F">
      <w:footerReference w:type="default" r:id="rId12"/>
      <w:pgSz w:w="11906" w:h="16838"/>
      <w:pgMar w:top="709" w:right="141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BB8" w:rsidRDefault="00D83BB8" w:rsidP="008B15F4">
      <w:r>
        <w:separator/>
      </w:r>
    </w:p>
  </w:endnote>
  <w:endnote w:type="continuationSeparator" w:id="0">
    <w:p w:rsidR="00D83BB8" w:rsidRDefault="00D83BB8" w:rsidP="008B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03" w:rsidRDefault="00783EBA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6663055</wp:posOffset>
              </wp:positionH>
              <wp:positionV relativeFrom="page">
                <wp:posOffset>9857740</wp:posOffset>
              </wp:positionV>
              <wp:extent cx="368300" cy="274320"/>
              <wp:effectExtent l="5080" t="8890" r="762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040503" w:rsidRDefault="0004050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83EBA" w:rsidRPr="00783EBA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1028" type="#_x0000_t65" style="position:absolute;margin-left:524.65pt;margin-top:776.2pt;width:29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Z22y2eIAAAAPAQAADwAA&#10;AAAAAAAAAAAAAACRBAAAZHJzL2Rvd25yZXYueG1sUEsFBgAAAAAEAAQA8wAAAKAFAAAAAA==&#10;" o:allowincell="f" adj="14135" strokecolor="gray" strokeweight=".25pt">
              <v:textbox>
                <w:txbxContent>
                  <w:p w:rsidR="00040503" w:rsidRDefault="00040503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83EBA" w:rsidRPr="00783EBA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BB8" w:rsidRDefault="00D83BB8" w:rsidP="008B15F4">
      <w:r>
        <w:separator/>
      </w:r>
    </w:p>
  </w:footnote>
  <w:footnote w:type="continuationSeparator" w:id="0">
    <w:p w:rsidR="00D83BB8" w:rsidRDefault="00D83BB8" w:rsidP="008B15F4">
      <w:r>
        <w:continuationSeparator/>
      </w:r>
    </w:p>
  </w:footnote>
  <w:footnote w:id="1">
    <w:p w:rsidR="00040503" w:rsidRPr="00EB2CCF" w:rsidRDefault="00040503" w:rsidP="00D84986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B8"/>
    <w:rsid w:val="0000437B"/>
    <w:rsid w:val="00007167"/>
    <w:rsid w:val="0000754C"/>
    <w:rsid w:val="0001535B"/>
    <w:rsid w:val="000214C4"/>
    <w:rsid w:val="0002731B"/>
    <w:rsid w:val="000335DC"/>
    <w:rsid w:val="00035447"/>
    <w:rsid w:val="00037C0C"/>
    <w:rsid w:val="00040503"/>
    <w:rsid w:val="00051DA3"/>
    <w:rsid w:val="00056960"/>
    <w:rsid w:val="00060769"/>
    <w:rsid w:val="00065B3B"/>
    <w:rsid w:val="000709E1"/>
    <w:rsid w:val="00074A5A"/>
    <w:rsid w:val="00076FF7"/>
    <w:rsid w:val="00080F6E"/>
    <w:rsid w:val="000812DD"/>
    <w:rsid w:val="00083609"/>
    <w:rsid w:val="00083DFB"/>
    <w:rsid w:val="0009605E"/>
    <w:rsid w:val="000A595E"/>
    <w:rsid w:val="000C5887"/>
    <w:rsid w:val="000D019C"/>
    <w:rsid w:val="000D31CD"/>
    <w:rsid w:val="000D3A78"/>
    <w:rsid w:val="000D7D2F"/>
    <w:rsid w:val="000E0196"/>
    <w:rsid w:val="000E1C07"/>
    <w:rsid w:val="000E47B6"/>
    <w:rsid w:val="000E7246"/>
    <w:rsid w:val="00101D9C"/>
    <w:rsid w:val="00102F97"/>
    <w:rsid w:val="00103F1A"/>
    <w:rsid w:val="001060B0"/>
    <w:rsid w:val="00107C87"/>
    <w:rsid w:val="001144FE"/>
    <w:rsid w:val="00114A17"/>
    <w:rsid w:val="00116390"/>
    <w:rsid w:val="001242C3"/>
    <w:rsid w:val="00124BD4"/>
    <w:rsid w:val="00125F6C"/>
    <w:rsid w:val="001313B2"/>
    <w:rsid w:val="00135B25"/>
    <w:rsid w:val="00153039"/>
    <w:rsid w:val="001606B6"/>
    <w:rsid w:val="00166B28"/>
    <w:rsid w:val="00167165"/>
    <w:rsid w:val="001752A2"/>
    <w:rsid w:val="00182738"/>
    <w:rsid w:val="001828B7"/>
    <w:rsid w:val="00183DB8"/>
    <w:rsid w:val="00186037"/>
    <w:rsid w:val="00186964"/>
    <w:rsid w:val="0018755E"/>
    <w:rsid w:val="001951FA"/>
    <w:rsid w:val="001A14DD"/>
    <w:rsid w:val="001A214E"/>
    <w:rsid w:val="001A333D"/>
    <w:rsid w:val="001A5768"/>
    <w:rsid w:val="001B0E9B"/>
    <w:rsid w:val="001B2833"/>
    <w:rsid w:val="001C072E"/>
    <w:rsid w:val="001C0A1E"/>
    <w:rsid w:val="001C5C7D"/>
    <w:rsid w:val="001C618B"/>
    <w:rsid w:val="001D0831"/>
    <w:rsid w:val="001D6296"/>
    <w:rsid w:val="001E237C"/>
    <w:rsid w:val="001E36A2"/>
    <w:rsid w:val="001E3AD3"/>
    <w:rsid w:val="001F362D"/>
    <w:rsid w:val="00203D66"/>
    <w:rsid w:val="00206ABC"/>
    <w:rsid w:val="00206ABE"/>
    <w:rsid w:val="0021298B"/>
    <w:rsid w:val="00217128"/>
    <w:rsid w:val="00222704"/>
    <w:rsid w:val="00223929"/>
    <w:rsid w:val="00223B52"/>
    <w:rsid w:val="0022696C"/>
    <w:rsid w:val="0023026A"/>
    <w:rsid w:val="002311A6"/>
    <w:rsid w:val="0024286D"/>
    <w:rsid w:val="00243884"/>
    <w:rsid w:val="00252A35"/>
    <w:rsid w:val="002537FA"/>
    <w:rsid w:val="002628A3"/>
    <w:rsid w:val="002657B9"/>
    <w:rsid w:val="00275554"/>
    <w:rsid w:val="0028080D"/>
    <w:rsid w:val="00283A01"/>
    <w:rsid w:val="00284461"/>
    <w:rsid w:val="002865CA"/>
    <w:rsid w:val="00290309"/>
    <w:rsid w:val="00297DA5"/>
    <w:rsid w:val="002A5251"/>
    <w:rsid w:val="002B0E5E"/>
    <w:rsid w:val="002B3188"/>
    <w:rsid w:val="002B7869"/>
    <w:rsid w:val="002C429B"/>
    <w:rsid w:val="002D6882"/>
    <w:rsid w:val="002E0A9C"/>
    <w:rsid w:val="002E355E"/>
    <w:rsid w:val="002E5FEC"/>
    <w:rsid w:val="002E7D32"/>
    <w:rsid w:val="002F31C7"/>
    <w:rsid w:val="002F40D4"/>
    <w:rsid w:val="002F5459"/>
    <w:rsid w:val="00303C6B"/>
    <w:rsid w:val="0030453C"/>
    <w:rsid w:val="00312215"/>
    <w:rsid w:val="00312406"/>
    <w:rsid w:val="003178FE"/>
    <w:rsid w:val="00332990"/>
    <w:rsid w:val="00332A9E"/>
    <w:rsid w:val="00344DEC"/>
    <w:rsid w:val="003558F0"/>
    <w:rsid w:val="0035771B"/>
    <w:rsid w:val="00365FBA"/>
    <w:rsid w:val="00376F49"/>
    <w:rsid w:val="0037724D"/>
    <w:rsid w:val="00380E69"/>
    <w:rsid w:val="0038303E"/>
    <w:rsid w:val="00392863"/>
    <w:rsid w:val="003A52EC"/>
    <w:rsid w:val="003C16A4"/>
    <w:rsid w:val="003C1788"/>
    <w:rsid w:val="003D31B6"/>
    <w:rsid w:val="003D486A"/>
    <w:rsid w:val="003E3215"/>
    <w:rsid w:val="003E3AA5"/>
    <w:rsid w:val="003F5AEA"/>
    <w:rsid w:val="004012A1"/>
    <w:rsid w:val="00402059"/>
    <w:rsid w:val="00402459"/>
    <w:rsid w:val="00402F5C"/>
    <w:rsid w:val="004114F0"/>
    <w:rsid w:val="004115CA"/>
    <w:rsid w:val="00412575"/>
    <w:rsid w:val="004231CA"/>
    <w:rsid w:val="00427C16"/>
    <w:rsid w:val="00435C25"/>
    <w:rsid w:val="004546FD"/>
    <w:rsid w:val="0045490B"/>
    <w:rsid w:val="00460326"/>
    <w:rsid w:val="00464474"/>
    <w:rsid w:val="00470BC2"/>
    <w:rsid w:val="00472C53"/>
    <w:rsid w:val="00477677"/>
    <w:rsid w:val="00484B7A"/>
    <w:rsid w:val="00487676"/>
    <w:rsid w:val="00490E82"/>
    <w:rsid w:val="0049159E"/>
    <w:rsid w:val="004A3CCE"/>
    <w:rsid w:val="004B1B60"/>
    <w:rsid w:val="004B62BF"/>
    <w:rsid w:val="004C624A"/>
    <w:rsid w:val="004D0564"/>
    <w:rsid w:val="004D5D15"/>
    <w:rsid w:val="004E0580"/>
    <w:rsid w:val="004E3C67"/>
    <w:rsid w:val="004F13C8"/>
    <w:rsid w:val="00503A79"/>
    <w:rsid w:val="00506CF8"/>
    <w:rsid w:val="0051038A"/>
    <w:rsid w:val="005124DB"/>
    <w:rsid w:val="00514273"/>
    <w:rsid w:val="00516AB4"/>
    <w:rsid w:val="00522871"/>
    <w:rsid w:val="00526702"/>
    <w:rsid w:val="005310BD"/>
    <w:rsid w:val="005346D6"/>
    <w:rsid w:val="005429E6"/>
    <w:rsid w:val="005440FF"/>
    <w:rsid w:val="0054506C"/>
    <w:rsid w:val="005568B8"/>
    <w:rsid w:val="005577E8"/>
    <w:rsid w:val="00563572"/>
    <w:rsid w:val="00571BF7"/>
    <w:rsid w:val="00574299"/>
    <w:rsid w:val="00575F10"/>
    <w:rsid w:val="00585025"/>
    <w:rsid w:val="005863CE"/>
    <w:rsid w:val="00586CB7"/>
    <w:rsid w:val="005A3553"/>
    <w:rsid w:val="005A787C"/>
    <w:rsid w:val="005B4F22"/>
    <w:rsid w:val="005C0BC3"/>
    <w:rsid w:val="005C2E7A"/>
    <w:rsid w:val="005D1F5C"/>
    <w:rsid w:val="005D3081"/>
    <w:rsid w:val="005D30E3"/>
    <w:rsid w:val="005E27CF"/>
    <w:rsid w:val="005E5A2C"/>
    <w:rsid w:val="0060295C"/>
    <w:rsid w:val="00602CEB"/>
    <w:rsid w:val="00605B09"/>
    <w:rsid w:val="006071C9"/>
    <w:rsid w:val="00613DE2"/>
    <w:rsid w:val="00621931"/>
    <w:rsid w:val="00621D07"/>
    <w:rsid w:val="00622989"/>
    <w:rsid w:val="006312D8"/>
    <w:rsid w:val="006325E3"/>
    <w:rsid w:val="0065698B"/>
    <w:rsid w:val="0066054C"/>
    <w:rsid w:val="0066171A"/>
    <w:rsid w:val="0066181D"/>
    <w:rsid w:val="0066433D"/>
    <w:rsid w:val="00664D62"/>
    <w:rsid w:val="0067767B"/>
    <w:rsid w:val="00686BD0"/>
    <w:rsid w:val="00691A08"/>
    <w:rsid w:val="00695ADE"/>
    <w:rsid w:val="00696313"/>
    <w:rsid w:val="00696C95"/>
    <w:rsid w:val="006978F8"/>
    <w:rsid w:val="006A4CC7"/>
    <w:rsid w:val="006A7362"/>
    <w:rsid w:val="006A7E55"/>
    <w:rsid w:val="006B185C"/>
    <w:rsid w:val="006B7EFB"/>
    <w:rsid w:val="006C7E67"/>
    <w:rsid w:val="006D05D9"/>
    <w:rsid w:val="006D3BCC"/>
    <w:rsid w:val="006D4118"/>
    <w:rsid w:val="006D4B8A"/>
    <w:rsid w:val="006D5DFB"/>
    <w:rsid w:val="006E5F11"/>
    <w:rsid w:val="00700E6B"/>
    <w:rsid w:val="007011F6"/>
    <w:rsid w:val="00705679"/>
    <w:rsid w:val="00712F98"/>
    <w:rsid w:val="00714887"/>
    <w:rsid w:val="007170A6"/>
    <w:rsid w:val="0071796D"/>
    <w:rsid w:val="00735AC4"/>
    <w:rsid w:val="007405B7"/>
    <w:rsid w:val="0074078B"/>
    <w:rsid w:val="00740903"/>
    <w:rsid w:val="00765EA8"/>
    <w:rsid w:val="00783EBA"/>
    <w:rsid w:val="00792569"/>
    <w:rsid w:val="00793913"/>
    <w:rsid w:val="00796F5F"/>
    <w:rsid w:val="007970A2"/>
    <w:rsid w:val="007A7B2A"/>
    <w:rsid w:val="007B0023"/>
    <w:rsid w:val="007B6857"/>
    <w:rsid w:val="007B7D3E"/>
    <w:rsid w:val="007C3932"/>
    <w:rsid w:val="007C63F6"/>
    <w:rsid w:val="007D57D8"/>
    <w:rsid w:val="007D6634"/>
    <w:rsid w:val="007F0C67"/>
    <w:rsid w:val="008021BF"/>
    <w:rsid w:val="00805CAF"/>
    <w:rsid w:val="00806BFA"/>
    <w:rsid w:val="00810BA2"/>
    <w:rsid w:val="008115C7"/>
    <w:rsid w:val="00817345"/>
    <w:rsid w:val="00822644"/>
    <w:rsid w:val="0082379B"/>
    <w:rsid w:val="008342E1"/>
    <w:rsid w:val="0083690B"/>
    <w:rsid w:val="00847380"/>
    <w:rsid w:val="00856C09"/>
    <w:rsid w:val="0085763D"/>
    <w:rsid w:val="00866606"/>
    <w:rsid w:val="008669AF"/>
    <w:rsid w:val="00867536"/>
    <w:rsid w:val="008944BF"/>
    <w:rsid w:val="00897F8F"/>
    <w:rsid w:val="008A03CF"/>
    <w:rsid w:val="008A6DC5"/>
    <w:rsid w:val="008B15F4"/>
    <w:rsid w:val="008B5AE0"/>
    <w:rsid w:val="008C25C7"/>
    <w:rsid w:val="008C519E"/>
    <w:rsid w:val="008D231E"/>
    <w:rsid w:val="008E487D"/>
    <w:rsid w:val="008E493B"/>
    <w:rsid w:val="008E782B"/>
    <w:rsid w:val="008F1E89"/>
    <w:rsid w:val="008F55E9"/>
    <w:rsid w:val="008F7D58"/>
    <w:rsid w:val="009021FF"/>
    <w:rsid w:val="009074EB"/>
    <w:rsid w:val="00913E07"/>
    <w:rsid w:val="009174C2"/>
    <w:rsid w:val="00920A62"/>
    <w:rsid w:val="009242BA"/>
    <w:rsid w:val="00924CB9"/>
    <w:rsid w:val="00926E22"/>
    <w:rsid w:val="009305AB"/>
    <w:rsid w:val="009372F0"/>
    <w:rsid w:val="009422C2"/>
    <w:rsid w:val="009455C4"/>
    <w:rsid w:val="00946E8D"/>
    <w:rsid w:val="00946EFD"/>
    <w:rsid w:val="00952C25"/>
    <w:rsid w:val="00960C99"/>
    <w:rsid w:val="009655C3"/>
    <w:rsid w:val="0096628C"/>
    <w:rsid w:val="0097156F"/>
    <w:rsid w:val="0098474C"/>
    <w:rsid w:val="0099152F"/>
    <w:rsid w:val="009946D2"/>
    <w:rsid w:val="009976EE"/>
    <w:rsid w:val="009A7BB1"/>
    <w:rsid w:val="009B17B5"/>
    <w:rsid w:val="009B5CB5"/>
    <w:rsid w:val="009E60D8"/>
    <w:rsid w:val="009E7413"/>
    <w:rsid w:val="009F3991"/>
    <w:rsid w:val="009F471F"/>
    <w:rsid w:val="00A00269"/>
    <w:rsid w:val="00A015C0"/>
    <w:rsid w:val="00A016AD"/>
    <w:rsid w:val="00A02536"/>
    <w:rsid w:val="00A067D2"/>
    <w:rsid w:val="00A117E4"/>
    <w:rsid w:val="00A15A9F"/>
    <w:rsid w:val="00A15FD7"/>
    <w:rsid w:val="00A22835"/>
    <w:rsid w:val="00A31C7D"/>
    <w:rsid w:val="00A323AC"/>
    <w:rsid w:val="00A36228"/>
    <w:rsid w:val="00A36840"/>
    <w:rsid w:val="00A42733"/>
    <w:rsid w:val="00A45D12"/>
    <w:rsid w:val="00A55C30"/>
    <w:rsid w:val="00A625DB"/>
    <w:rsid w:val="00A628C6"/>
    <w:rsid w:val="00A66E00"/>
    <w:rsid w:val="00A71F20"/>
    <w:rsid w:val="00A81072"/>
    <w:rsid w:val="00A84577"/>
    <w:rsid w:val="00A91FC8"/>
    <w:rsid w:val="00A92213"/>
    <w:rsid w:val="00A95A4F"/>
    <w:rsid w:val="00AA15F9"/>
    <w:rsid w:val="00AB2DFD"/>
    <w:rsid w:val="00AC14EF"/>
    <w:rsid w:val="00AD103B"/>
    <w:rsid w:val="00AD3450"/>
    <w:rsid w:val="00AD3DE5"/>
    <w:rsid w:val="00AD7D1F"/>
    <w:rsid w:val="00AF6C85"/>
    <w:rsid w:val="00B01B4C"/>
    <w:rsid w:val="00B02550"/>
    <w:rsid w:val="00B042A6"/>
    <w:rsid w:val="00B04B33"/>
    <w:rsid w:val="00B07284"/>
    <w:rsid w:val="00B16DBD"/>
    <w:rsid w:val="00B23563"/>
    <w:rsid w:val="00B24926"/>
    <w:rsid w:val="00B3624B"/>
    <w:rsid w:val="00B468F8"/>
    <w:rsid w:val="00B54272"/>
    <w:rsid w:val="00B55344"/>
    <w:rsid w:val="00B649A9"/>
    <w:rsid w:val="00B9076A"/>
    <w:rsid w:val="00B92541"/>
    <w:rsid w:val="00BB53D4"/>
    <w:rsid w:val="00BC06F0"/>
    <w:rsid w:val="00BC5F2A"/>
    <w:rsid w:val="00BD0D21"/>
    <w:rsid w:val="00BD4791"/>
    <w:rsid w:val="00BD55FE"/>
    <w:rsid w:val="00BE5D2E"/>
    <w:rsid w:val="00BF1486"/>
    <w:rsid w:val="00BF323B"/>
    <w:rsid w:val="00BF5D8F"/>
    <w:rsid w:val="00C00F57"/>
    <w:rsid w:val="00C01421"/>
    <w:rsid w:val="00C07393"/>
    <w:rsid w:val="00C1551B"/>
    <w:rsid w:val="00C162AF"/>
    <w:rsid w:val="00C261ED"/>
    <w:rsid w:val="00C33A9E"/>
    <w:rsid w:val="00C40497"/>
    <w:rsid w:val="00C43C89"/>
    <w:rsid w:val="00C67E4D"/>
    <w:rsid w:val="00C710D0"/>
    <w:rsid w:val="00C832EA"/>
    <w:rsid w:val="00C94181"/>
    <w:rsid w:val="00C97ECA"/>
    <w:rsid w:val="00CA0FDF"/>
    <w:rsid w:val="00CA470C"/>
    <w:rsid w:val="00CB6CA3"/>
    <w:rsid w:val="00CC074B"/>
    <w:rsid w:val="00CC2F94"/>
    <w:rsid w:val="00CD4E28"/>
    <w:rsid w:val="00CE036B"/>
    <w:rsid w:val="00CE5EC4"/>
    <w:rsid w:val="00CF31D1"/>
    <w:rsid w:val="00D05962"/>
    <w:rsid w:val="00D07CF3"/>
    <w:rsid w:val="00D120BA"/>
    <w:rsid w:val="00D338EE"/>
    <w:rsid w:val="00D3719D"/>
    <w:rsid w:val="00D417F9"/>
    <w:rsid w:val="00D51D78"/>
    <w:rsid w:val="00D63ACC"/>
    <w:rsid w:val="00D6733C"/>
    <w:rsid w:val="00D73780"/>
    <w:rsid w:val="00D74F10"/>
    <w:rsid w:val="00D83BB8"/>
    <w:rsid w:val="00D8470B"/>
    <w:rsid w:val="00D84986"/>
    <w:rsid w:val="00D92124"/>
    <w:rsid w:val="00D92974"/>
    <w:rsid w:val="00D931F3"/>
    <w:rsid w:val="00DA2CB0"/>
    <w:rsid w:val="00DA44D9"/>
    <w:rsid w:val="00DA7CCA"/>
    <w:rsid w:val="00DB2144"/>
    <w:rsid w:val="00DB305F"/>
    <w:rsid w:val="00DB4FA8"/>
    <w:rsid w:val="00DC21D5"/>
    <w:rsid w:val="00DC749D"/>
    <w:rsid w:val="00DD0EC1"/>
    <w:rsid w:val="00DD1149"/>
    <w:rsid w:val="00DD1E05"/>
    <w:rsid w:val="00DD560A"/>
    <w:rsid w:val="00DD6822"/>
    <w:rsid w:val="00DE12EF"/>
    <w:rsid w:val="00DE2D25"/>
    <w:rsid w:val="00DE7F42"/>
    <w:rsid w:val="00DF1481"/>
    <w:rsid w:val="00DF19EF"/>
    <w:rsid w:val="00DF3E40"/>
    <w:rsid w:val="00DF6B42"/>
    <w:rsid w:val="00E04145"/>
    <w:rsid w:val="00E23C07"/>
    <w:rsid w:val="00E26573"/>
    <w:rsid w:val="00E332A0"/>
    <w:rsid w:val="00E351EE"/>
    <w:rsid w:val="00E40A88"/>
    <w:rsid w:val="00E420C4"/>
    <w:rsid w:val="00E423C9"/>
    <w:rsid w:val="00E43B98"/>
    <w:rsid w:val="00E466A1"/>
    <w:rsid w:val="00E61BE3"/>
    <w:rsid w:val="00E7339A"/>
    <w:rsid w:val="00E744B5"/>
    <w:rsid w:val="00E76B03"/>
    <w:rsid w:val="00E7701B"/>
    <w:rsid w:val="00E95629"/>
    <w:rsid w:val="00EA0431"/>
    <w:rsid w:val="00EA3D05"/>
    <w:rsid w:val="00EB2416"/>
    <w:rsid w:val="00EB362E"/>
    <w:rsid w:val="00EB5217"/>
    <w:rsid w:val="00EC0645"/>
    <w:rsid w:val="00EC64F1"/>
    <w:rsid w:val="00ED0A1A"/>
    <w:rsid w:val="00ED2C14"/>
    <w:rsid w:val="00EF52EE"/>
    <w:rsid w:val="00F111A6"/>
    <w:rsid w:val="00F11AB7"/>
    <w:rsid w:val="00F220DE"/>
    <w:rsid w:val="00F266F4"/>
    <w:rsid w:val="00F26CA9"/>
    <w:rsid w:val="00F31776"/>
    <w:rsid w:val="00F32BB5"/>
    <w:rsid w:val="00F34C04"/>
    <w:rsid w:val="00F377E6"/>
    <w:rsid w:val="00F430C0"/>
    <w:rsid w:val="00F44753"/>
    <w:rsid w:val="00F47D03"/>
    <w:rsid w:val="00F62CED"/>
    <w:rsid w:val="00F63523"/>
    <w:rsid w:val="00F65DAC"/>
    <w:rsid w:val="00F774CA"/>
    <w:rsid w:val="00F8583E"/>
    <w:rsid w:val="00F93255"/>
    <w:rsid w:val="00F95DB0"/>
    <w:rsid w:val="00F978CA"/>
    <w:rsid w:val="00FA538D"/>
    <w:rsid w:val="00FA5674"/>
    <w:rsid w:val="00FB15DE"/>
    <w:rsid w:val="00FB5452"/>
    <w:rsid w:val="00FB7108"/>
    <w:rsid w:val="00FC7331"/>
    <w:rsid w:val="00FD203F"/>
    <w:rsid w:val="00FE1021"/>
    <w:rsid w:val="00FE3F42"/>
    <w:rsid w:val="00FF34CD"/>
    <w:rsid w:val="00FF3919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473087-7D7B-498C-8B68-604B6BDF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6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828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28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2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0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849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28B7"/>
    <w:rPr>
      <w:rFonts w:ascii="Cambria" w:eastAsia="Times New Roman" w:hAnsi="Cambria" w:cs="Times New Roman"/>
      <w:b/>
      <w:bCs/>
      <w:kern w:val="32"/>
      <w:sz w:val="32"/>
      <w:szCs w:val="32"/>
      <w:lang w:val="fr-BE" w:eastAsia="en-US"/>
    </w:rPr>
  </w:style>
  <w:style w:type="character" w:customStyle="1" w:styleId="Titre2Car">
    <w:name w:val="Titre 2 Car"/>
    <w:link w:val="Titre2"/>
    <w:uiPriority w:val="9"/>
    <w:rsid w:val="001828B7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character" w:customStyle="1" w:styleId="Titre3Car">
    <w:name w:val="Titre 3 Car"/>
    <w:link w:val="Titre3"/>
    <w:uiPriority w:val="9"/>
    <w:rsid w:val="001828B7"/>
    <w:rPr>
      <w:rFonts w:ascii="Cambria" w:eastAsia="Times New Roman" w:hAnsi="Cambria" w:cs="Times New Roman"/>
      <w:b/>
      <w:bCs/>
      <w:sz w:val="26"/>
      <w:szCs w:val="26"/>
      <w:lang w:val="fr-BE" w:eastAsia="en-US"/>
    </w:rPr>
  </w:style>
  <w:style w:type="paragraph" w:styleId="Paragraphedeliste">
    <w:name w:val="List Paragraph"/>
    <w:basedOn w:val="Normal"/>
    <w:uiPriority w:val="34"/>
    <w:qFormat/>
    <w:rsid w:val="001828B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828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1828B7"/>
    <w:pPr>
      <w:pBdr>
        <w:bottom w:val="thickThinSmallGap" w:sz="24" w:space="1" w:color="auto"/>
      </w:pBdr>
      <w:jc w:val="center"/>
    </w:pPr>
    <w:rPr>
      <w:b/>
      <w:sz w:val="32"/>
      <w:szCs w:val="40"/>
    </w:rPr>
  </w:style>
  <w:style w:type="paragraph" w:customStyle="1" w:styleId="TITRE10">
    <w:name w:val="TITRE1"/>
    <w:basedOn w:val="Normal"/>
    <w:qFormat/>
    <w:rsid w:val="001828B7"/>
    <w:pPr>
      <w:spacing w:line="360" w:lineRule="auto"/>
      <w:ind w:left="1035" w:hanging="495"/>
      <w:jc w:val="both"/>
    </w:pPr>
    <w:rPr>
      <w:b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1828B7"/>
    <w:rPr>
      <w:b/>
      <w:bCs/>
      <w:sz w:val="20"/>
      <w:szCs w:val="20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1828B7"/>
    <w:rPr>
      <w:rFonts w:ascii="Arial" w:eastAsia="Calibri" w:hAnsi="Arial"/>
      <w:iCs/>
      <w:color w:val="FFFFFF"/>
      <w:sz w:val="20"/>
      <w:szCs w:val="22"/>
      <w:lang w:val="fr-BE" w:eastAsia="en-US"/>
    </w:rPr>
  </w:style>
  <w:style w:type="character" w:customStyle="1" w:styleId="CitationCar">
    <w:name w:val="Citation Car"/>
    <w:aliases w:val="Tableau Car"/>
    <w:link w:val="Citation"/>
    <w:uiPriority w:val="29"/>
    <w:rsid w:val="001828B7"/>
    <w:rPr>
      <w:rFonts w:ascii="Arial" w:hAnsi="Arial"/>
      <w:iCs/>
      <w:color w:val="FFFFFF"/>
      <w:szCs w:val="22"/>
      <w:lang w:val="fr-BE" w:eastAsia="en-US"/>
    </w:rPr>
  </w:style>
  <w:style w:type="paragraph" w:styleId="Tabledesillustrations">
    <w:name w:val="table of figures"/>
    <w:basedOn w:val="Normal"/>
    <w:next w:val="Normal"/>
    <w:uiPriority w:val="99"/>
    <w:unhideWhenUsed/>
    <w:rsid w:val="00793913"/>
  </w:style>
  <w:style w:type="paragraph" w:styleId="En-tte">
    <w:name w:val="header"/>
    <w:basedOn w:val="Normal"/>
    <w:link w:val="En-tteCar"/>
    <w:uiPriority w:val="99"/>
    <w:semiHidden/>
    <w:unhideWhenUsed/>
    <w:rsid w:val="008B15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En-tteCar">
    <w:name w:val="En-tête Car"/>
    <w:link w:val="En-tte"/>
    <w:uiPriority w:val="99"/>
    <w:semiHidden/>
    <w:rsid w:val="008B15F4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15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PieddepageCar">
    <w:name w:val="Pied de page Car"/>
    <w:link w:val="Pieddepage"/>
    <w:uiPriority w:val="99"/>
    <w:semiHidden/>
    <w:rsid w:val="008B15F4"/>
    <w:rPr>
      <w:sz w:val="22"/>
      <w:szCs w:val="22"/>
      <w:lang w:val="fr-BE" w:eastAsia="en-US"/>
    </w:rPr>
  </w:style>
  <w:style w:type="paragraph" w:styleId="NormalWeb">
    <w:name w:val="Normal (Web)"/>
    <w:basedOn w:val="Normal"/>
    <w:uiPriority w:val="99"/>
    <w:semiHidden/>
    <w:unhideWhenUsed/>
    <w:rsid w:val="00A15A9F"/>
    <w:pPr>
      <w:spacing w:before="100" w:beforeAutospacing="1" w:after="100" w:afterAutospacing="1"/>
    </w:pPr>
  </w:style>
  <w:style w:type="character" w:customStyle="1" w:styleId="Titre5Car">
    <w:name w:val="Titre 5 Car"/>
    <w:link w:val="Titre5"/>
    <w:uiPriority w:val="9"/>
    <w:rsid w:val="00D849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rsid w:val="00D84986"/>
    <w:rPr>
      <w:sz w:val="20"/>
      <w:szCs w:val="20"/>
      <w:lang w:val="x-none" w:eastAsia="x-none"/>
    </w:rPr>
  </w:style>
  <w:style w:type="character" w:customStyle="1" w:styleId="NotedebasdepageCar">
    <w:name w:val="Note de bas de page Car"/>
    <w:link w:val="Notedebasdepage"/>
    <w:uiPriority w:val="99"/>
    <w:semiHidden/>
    <w:rsid w:val="00D84986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rsid w:val="00D84986"/>
    <w:rPr>
      <w:vertAlign w:val="superscript"/>
    </w:rPr>
  </w:style>
  <w:style w:type="character" w:customStyle="1" w:styleId="Titre4Car">
    <w:name w:val="Titre 4 Car"/>
    <w:link w:val="Titre4"/>
    <w:uiPriority w:val="9"/>
    <w:semiHidden/>
    <w:rsid w:val="007B0023"/>
    <w:rPr>
      <w:rFonts w:ascii="Calibri" w:eastAsia="Times New Roman" w:hAnsi="Calibri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0A2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97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octobre%2019\Indice%20fonction_NCOA_national_base%20100_ann&#233;e%202014_actualis&#233;s_18_09_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octobre%2019\Indice%20fonction_NCOA_national_base%20100_ann&#233;e%202014_actualis&#233;s_18_09_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octobre%2019\Indice%20fonction_NCOA_national_base%20100_ann&#233;e%202014_actualis&#233;s_18_09_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octobre%2019\Indice%20fonction_NCOA_national_base%20100_ann&#233;e%202014_actualis&#233;s_18_09_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fr-FR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00002034509348"/>
          <c:y val="4.1666807952229712E-2"/>
          <c:w val="0.84190266841644801"/>
          <c:h val="0.70152668416447961"/>
        </c:manualLayout>
      </c:layout>
      <c:lineChart>
        <c:grouping val="standard"/>
        <c:varyColors val="1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global et IHPFE'!$B$2:$W$2</c:f>
              <c:numCache>
                <c:formatCode>0.0</c:formatCode>
                <c:ptCount val="22"/>
                <c:pt idx="0">
                  <c:v>101.29937399999999</c:v>
                </c:pt>
                <c:pt idx="1">
                  <c:v>102.08507399999999</c:v>
                </c:pt>
                <c:pt idx="2">
                  <c:v>101.175282</c:v>
                </c:pt>
                <c:pt idx="3">
                  <c:v>102.18583899999999</c:v>
                </c:pt>
                <c:pt idx="4">
                  <c:v>103.24809500000001</c:v>
                </c:pt>
                <c:pt idx="5">
                  <c:v>104.47004299999999</c:v>
                </c:pt>
                <c:pt idx="6">
                  <c:v>103.95182799999999</c:v>
                </c:pt>
                <c:pt idx="7">
                  <c:v>101.83582000000001</c:v>
                </c:pt>
                <c:pt idx="8">
                  <c:v>101.35264699999999</c:v>
                </c:pt>
                <c:pt idx="9">
                  <c:v>100.92512699999999</c:v>
                </c:pt>
                <c:pt idx="10">
                  <c:v>100.78330300000002</c:v>
                </c:pt>
                <c:pt idx="11">
                  <c:v>101.18007525</c:v>
                </c:pt>
                <c:pt idx="12">
                  <c:v>102.26635999999999</c:v>
                </c:pt>
                <c:pt idx="13">
                  <c:v>100.73168600000001</c:v>
                </c:pt>
                <c:pt idx="14">
                  <c:v>101.58196600000001</c:v>
                </c:pt>
                <c:pt idx="15">
                  <c:v>100.59786499999998</c:v>
                </c:pt>
                <c:pt idx="16">
                  <c:v>102.25299000000001</c:v>
                </c:pt>
                <c:pt idx="17">
                  <c:v>100.54781300000002</c:v>
                </c:pt>
                <c:pt idx="18">
                  <c:v>101.265495</c:v>
                </c:pt>
                <c:pt idx="19">
                  <c:v>100.13558900000001</c:v>
                </c:pt>
                <c:pt idx="20">
                  <c:v>99.654730000000001</c:v>
                </c:pt>
                <c:pt idx="21">
                  <c:v>100.45093699999998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E0C5-4E41-BFF4-F6190C1A87D9}"/>
            </c:ext>
          </c:extLst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global et IHPFE'!$B$1:$W$1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global et IHPFE'!$B$3:$W$3</c:f>
              <c:numCache>
                <c:formatCode>0.0</c:formatCode>
                <c:ptCount val="22"/>
                <c:pt idx="0">
                  <c:v>103.75</c:v>
                </c:pt>
                <c:pt idx="1">
                  <c:v>103.05</c:v>
                </c:pt>
                <c:pt idx="2">
                  <c:v>100.95</c:v>
                </c:pt>
                <c:pt idx="3">
                  <c:v>100.79</c:v>
                </c:pt>
                <c:pt idx="4">
                  <c:v>101.45</c:v>
                </c:pt>
                <c:pt idx="5">
                  <c:v>101.54</c:v>
                </c:pt>
                <c:pt idx="6">
                  <c:v>100.92</c:v>
                </c:pt>
                <c:pt idx="7">
                  <c:v>100.98</c:v>
                </c:pt>
                <c:pt idx="8">
                  <c:v>100.25444233526491</c:v>
                </c:pt>
                <c:pt idx="9">
                  <c:v>100.1371059794883</c:v>
                </c:pt>
                <c:pt idx="10">
                  <c:v>100.40123184260341</c:v>
                </c:pt>
                <c:pt idx="11">
                  <c:v>101.54856619208849</c:v>
                </c:pt>
                <c:pt idx="12">
                  <c:v>101.6257614886124</c:v>
                </c:pt>
                <c:pt idx="13">
                  <c:v>100.98409846660293</c:v>
                </c:pt>
                <c:pt idx="14">
                  <c:v>102.23215694694788</c:v>
                </c:pt>
                <c:pt idx="15">
                  <c:v>101.8833473229497</c:v>
                </c:pt>
                <c:pt idx="16">
                  <c:v>101.29173680872972</c:v>
                </c:pt>
                <c:pt idx="17">
                  <c:v>99.080495771138359</c:v>
                </c:pt>
                <c:pt idx="18">
                  <c:v>100.72</c:v>
                </c:pt>
                <c:pt idx="19">
                  <c:v>98.953448448556742</c:v>
                </c:pt>
                <c:pt idx="20" formatCode="General">
                  <c:v>102.7</c:v>
                </c:pt>
                <c:pt idx="21">
                  <c:v>102.48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E0C5-4E41-BFF4-F6190C1A8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3723136"/>
        <c:axId val="143888768"/>
      </c:lineChart>
      <c:dateAx>
        <c:axId val="143723136"/>
        <c:scaling>
          <c:orientation val="minMax"/>
        </c:scaling>
        <c:delete val="1"/>
        <c:axPos val="b"/>
        <c:numFmt formatCode="mmm\-yy" sourceLinked="0"/>
        <c:majorTickMark val="cross"/>
        <c:minorTickMark val="cross"/>
        <c:tickLblPos val="nextTo"/>
        <c:crossAx val="143888768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43888768"/>
        <c:scaling>
          <c:orientation val="minMax"/>
          <c:min val="98"/>
        </c:scaling>
        <c:delete val="1"/>
        <c:axPos val="l"/>
        <c:numFmt formatCode="0.0" sourceLinked="1"/>
        <c:majorTickMark val="cross"/>
        <c:minorTickMark val="cross"/>
        <c:tickLblPos val="nextTo"/>
        <c:crossAx val="143723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885389326414E-2"/>
          <c:y val="0.89583624963546238"/>
          <c:w val="0.79791819772528438"/>
          <c:h val="7.6389253426655035E-2"/>
        </c:manualLayout>
      </c:layout>
      <c:overlay val="1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1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fr-FR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9.0909090909091023E-2"/>
          <c:y val="4.1666807952229698E-2"/>
          <c:w val="0.83442050263197654"/>
          <c:h val="0.64583552325955995"/>
        </c:manualLayout>
      </c:layout>
      <c:lineChart>
        <c:grouping val="standard"/>
        <c:varyColors val="1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global et produits alime'!$B$2:$W$2</c:f>
              <c:numCache>
                <c:formatCode>0.0</c:formatCode>
                <c:ptCount val="22"/>
                <c:pt idx="0">
                  <c:v>101.29937399999999</c:v>
                </c:pt>
                <c:pt idx="1">
                  <c:v>102.08507399999999</c:v>
                </c:pt>
                <c:pt idx="2">
                  <c:v>101.175282</c:v>
                </c:pt>
                <c:pt idx="3">
                  <c:v>102.18583899999999</c:v>
                </c:pt>
                <c:pt idx="4">
                  <c:v>103.24809500000001</c:v>
                </c:pt>
                <c:pt idx="5">
                  <c:v>104.47004299999999</c:v>
                </c:pt>
                <c:pt idx="6">
                  <c:v>103.95182799999999</c:v>
                </c:pt>
                <c:pt idx="7">
                  <c:v>101.83582000000001</c:v>
                </c:pt>
                <c:pt idx="8">
                  <c:v>101.35264699999999</c:v>
                </c:pt>
                <c:pt idx="9">
                  <c:v>100.92512699999999</c:v>
                </c:pt>
                <c:pt idx="10">
                  <c:v>100.78330300000002</c:v>
                </c:pt>
                <c:pt idx="11">
                  <c:v>101.18007525</c:v>
                </c:pt>
                <c:pt idx="12">
                  <c:v>102.26635999999999</c:v>
                </c:pt>
                <c:pt idx="13">
                  <c:v>100.73168600000001</c:v>
                </c:pt>
                <c:pt idx="14">
                  <c:v>101.58196600000001</c:v>
                </c:pt>
                <c:pt idx="15">
                  <c:v>100.59786499999998</c:v>
                </c:pt>
                <c:pt idx="16">
                  <c:v>102.25299000000001</c:v>
                </c:pt>
                <c:pt idx="17">
                  <c:v>100.54781300000002</c:v>
                </c:pt>
                <c:pt idx="18">
                  <c:v>101.265495</c:v>
                </c:pt>
                <c:pt idx="19">
                  <c:v>100.13558900000001</c:v>
                </c:pt>
                <c:pt idx="20">
                  <c:v>99.654730000000001</c:v>
                </c:pt>
                <c:pt idx="21">
                  <c:v>100.45093699999998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7A40-4B4F-941A-0E11A7620B77}"/>
            </c:ext>
          </c:extLst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global et produits alime'!$B$1:$W$1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global et produits alime'!$B$3:$W$3</c:f>
              <c:numCache>
                <c:formatCode>0.0</c:formatCode>
                <c:ptCount val="22"/>
                <c:pt idx="0">
                  <c:v>101.21</c:v>
                </c:pt>
                <c:pt idx="1">
                  <c:v>103.56</c:v>
                </c:pt>
                <c:pt idx="2">
                  <c:v>99.62</c:v>
                </c:pt>
                <c:pt idx="3">
                  <c:v>103.44</c:v>
                </c:pt>
                <c:pt idx="4">
                  <c:v>106.38</c:v>
                </c:pt>
                <c:pt idx="5">
                  <c:v>108.54</c:v>
                </c:pt>
                <c:pt idx="6">
                  <c:v>107.06</c:v>
                </c:pt>
                <c:pt idx="7">
                  <c:v>101.19</c:v>
                </c:pt>
                <c:pt idx="8">
                  <c:v>99.76</c:v>
                </c:pt>
                <c:pt idx="9">
                  <c:v>102.27</c:v>
                </c:pt>
                <c:pt idx="10">
                  <c:v>102.33</c:v>
                </c:pt>
                <c:pt idx="11">
                  <c:v>101.97890000000001</c:v>
                </c:pt>
                <c:pt idx="12">
                  <c:v>104.26</c:v>
                </c:pt>
                <c:pt idx="13">
                  <c:v>99.98</c:v>
                </c:pt>
                <c:pt idx="14">
                  <c:v>103.84</c:v>
                </c:pt>
                <c:pt idx="15">
                  <c:v>99.94</c:v>
                </c:pt>
                <c:pt idx="16">
                  <c:v>106.46</c:v>
                </c:pt>
                <c:pt idx="17">
                  <c:v>101.42</c:v>
                </c:pt>
                <c:pt idx="18">
                  <c:v>103.49</c:v>
                </c:pt>
                <c:pt idx="19">
                  <c:v>97.67</c:v>
                </c:pt>
                <c:pt idx="20">
                  <c:v>93.47</c:v>
                </c:pt>
                <c:pt idx="21">
                  <c:v>96.77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7A40-4B4F-941A-0E11A7620B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070400"/>
        <c:axId val="106072320"/>
      </c:lineChart>
      <c:dateAx>
        <c:axId val="106070400"/>
        <c:scaling>
          <c:orientation val="minMax"/>
        </c:scaling>
        <c:delete val="1"/>
        <c:axPos val="b"/>
        <c:numFmt formatCode="mmm\-yy" sourceLinked="0"/>
        <c:majorTickMark val="cross"/>
        <c:minorTickMark val="cross"/>
        <c:tickLblPos val="nextTo"/>
        <c:crossAx val="106072320"/>
        <c:crossesAt val="90"/>
        <c:auto val="1"/>
        <c:lblOffset val="100"/>
        <c:baseTimeUnit val="months"/>
        <c:majorUnit val="1"/>
        <c:majorTimeUnit val="months"/>
      </c:dateAx>
      <c:valAx>
        <c:axId val="106072320"/>
        <c:scaling>
          <c:orientation val="minMax"/>
          <c:min val="90"/>
        </c:scaling>
        <c:delete val="1"/>
        <c:axPos val="l"/>
        <c:numFmt formatCode="0.0" sourceLinked="1"/>
        <c:majorTickMark val="cross"/>
        <c:minorTickMark val="cross"/>
        <c:tickLblPos val="nextTo"/>
        <c:crossAx val="106070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6382189239332114E-2"/>
          <c:y val="0.89930847185768448"/>
          <c:w val="0.89795918367346961"/>
          <c:h val="7.6389253426655035E-2"/>
        </c:manualLayout>
      </c:layout>
      <c:overlay val="1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1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1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fr-FR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602"/>
        </c:manualLayout>
      </c:layout>
      <c:lineChart>
        <c:grouping val="standard"/>
        <c:varyColors val="1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logement et transport'!$B$2:$W$2</c:f>
              <c:numCache>
                <c:formatCode>General</c:formatCode>
                <c:ptCount val="22"/>
                <c:pt idx="0">
                  <c:v>103.07</c:v>
                </c:pt>
                <c:pt idx="1">
                  <c:v>103.07</c:v>
                </c:pt>
                <c:pt idx="2">
                  <c:v>103.8</c:v>
                </c:pt>
                <c:pt idx="3">
                  <c:v>102.65</c:v>
                </c:pt>
                <c:pt idx="4">
                  <c:v>102.55</c:v>
                </c:pt>
                <c:pt idx="5">
                  <c:v>101.23</c:v>
                </c:pt>
                <c:pt idx="6">
                  <c:v>100.71</c:v>
                </c:pt>
                <c:pt idx="7">
                  <c:v>101.2</c:v>
                </c:pt>
                <c:pt idx="8" formatCode="0.0">
                  <c:v>101.05</c:v>
                </c:pt>
                <c:pt idx="9" formatCode="0.0">
                  <c:v>99.29</c:v>
                </c:pt>
                <c:pt idx="10" formatCode="0.0">
                  <c:v>99.38</c:v>
                </c:pt>
                <c:pt idx="11" formatCode="0.0">
                  <c:v>102.1284</c:v>
                </c:pt>
                <c:pt idx="12">
                  <c:v>101.6</c:v>
                </c:pt>
                <c:pt idx="13">
                  <c:v>101.67</c:v>
                </c:pt>
                <c:pt idx="14">
                  <c:v>98.2</c:v>
                </c:pt>
                <c:pt idx="15" formatCode="0.0">
                  <c:v>98.27</c:v>
                </c:pt>
                <c:pt idx="16" formatCode="0.0">
                  <c:v>96.63</c:v>
                </c:pt>
                <c:pt idx="17">
                  <c:v>97.01</c:v>
                </c:pt>
                <c:pt idx="18">
                  <c:v>97.4</c:v>
                </c:pt>
                <c:pt idx="19" formatCode="0.0">
                  <c:v>100.71</c:v>
                </c:pt>
                <c:pt idx="20">
                  <c:v>99.32</c:v>
                </c:pt>
                <c:pt idx="21" formatCode="0.0">
                  <c:v>99.7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6583-4605-BE17-AACE81A6E631}"/>
            </c:ext>
          </c:extLst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logement et transport'!$B$1:$W$1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logement et transport'!$B$3:$W$3</c:f>
              <c:numCache>
                <c:formatCode>General</c:formatCode>
                <c:ptCount val="22"/>
                <c:pt idx="0">
                  <c:v>97.29</c:v>
                </c:pt>
                <c:pt idx="1">
                  <c:v>97.29</c:v>
                </c:pt>
                <c:pt idx="2">
                  <c:v>97.29</c:v>
                </c:pt>
                <c:pt idx="3">
                  <c:v>96.92</c:v>
                </c:pt>
                <c:pt idx="4">
                  <c:v>97.89</c:v>
                </c:pt>
                <c:pt idx="5">
                  <c:v>101.66</c:v>
                </c:pt>
                <c:pt idx="6">
                  <c:v>103.1</c:v>
                </c:pt>
                <c:pt idx="7">
                  <c:v>103.28</c:v>
                </c:pt>
                <c:pt idx="8" formatCode="0.0">
                  <c:v>103.88</c:v>
                </c:pt>
                <c:pt idx="9" formatCode="0.0">
                  <c:v>100.01</c:v>
                </c:pt>
                <c:pt idx="10" formatCode="0.0">
                  <c:v>100.04</c:v>
                </c:pt>
                <c:pt idx="11" formatCode="0.0">
                  <c:v>99.402199999999993</c:v>
                </c:pt>
                <c:pt idx="12" formatCode="0.0">
                  <c:v>98.07</c:v>
                </c:pt>
                <c:pt idx="13">
                  <c:v>97.84</c:v>
                </c:pt>
                <c:pt idx="14">
                  <c:v>96.4</c:v>
                </c:pt>
                <c:pt idx="15" formatCode="0.0">
                  <c:v>97.61</c:v>
                </c:pt>
                <c:pt idx="16" formatCode="0.0">
                  <c:v>96.77</c:v>
                </c:pt>
                <c:pt idx="17">
                  <c:v>96.36</c:v>
                </c:pt>
                <c:pt idx="18">
                  <c:v>97.6</c:v>
                </c:pt>
                <c:pt idx="19" formatCode="0.0">
                  <c:v>100.11</c:v>
                </c:pt>
                <c:pt idx="20">
                  <c:v>110.34</c:v>
                </c:pt>
                <c:pt idx="21" formatCode="0.0">
                  <c:v>106.17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6583-4605-BE17-AACE81A6E6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06074880"/>
        <c:axId val="106076416"/>
      </c:lineChart>
      <c:dateAx>
        <c:axId val="106074880"/>
        <c:scaling>
          <c:orientation val="minMax"/>
        </c:scaling>
        <c:delete val="1"/>
        <c:axPos val="b"/>
        <c:numFmt formatCode="mmm\-yy" sourceLinked="0"/>
        <c:majorTickMark val="cross"/>
        <c:minorTickMark val="cross"/>
        <c:tickLblPos val="nextTo"/>
        <c:crossAx val="10607641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06076416"/>
        <c:scaling>
          <c:orientation val="minMax"/>
          <c:min val="95"/>
        </c:scaling>
        <c:delete val="1"/>
        <c:axPos val="l"/>
        <c:numFmt formatCode="General" sourceLinked="1"/>
        <c:majorTickMark val="cross"/>
        <c:minorTickMark val="cross"/>
        <c:tickLblPos val="nextTo"/>
        <c:crossAx val="1060748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187226597"/>
          <c:y val="0.81944736074657332"/>
          <c:w val="0.78333486439195066"/>
          <c:h val="0.1527781423155439"/>
        </c:manualLayout>
      </c:layout>
      <c:overlay val="1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1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1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fr-FR"/>
  <c:roundedCorners val="1"/>
  <c:style val="2"/>
  <c:chart>
    <c:autoTitleDeleted val="1"/>
    <c:plotArea>
      <c:layout>
        <c:manualLayout>
          <c:layoutTarget val="inner"/>
          <c:xMode val="edge"/>
          <c:yMode val="edge"/>
          <c:x val="0.1000002034509348"/>
          <c:y val="4.1666807952229698E-2"/>
          <c:w val="0.82231408573928233"/>
          <c:h val="0.71078594342373913"/>
        </c:manualLayout>
      </c:layout>
      <c:lineChart>
        <c:grouping val="standard"/>
        <c:varyColors val="1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</c:v>
                </c:pt>
              </c:strCache>
            </c:strRef>
          </c:tx>
          <c:marker>
            <c:symbol val="none"/>
          </c:marker>
          <c:cat>
            <c:numRef>
              <c:f>'Indice origine'!$B$1:$W$1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origine'!$B$2:$W$2</c:f>
              <c:numCache>
                <c:formatCode>0.0</c:formatCode>
                <c:ptCount val="22"/>
                <c:pt idx="0">
                  <c:v>103.73</c:v>
                </c:pt>
                <c:pt idx="1">
                  <c:v>100.82</c:v>
                </c:pt>
                <c:pt idx="2">
                  <c:v>99.88</c:v>
                </c:pt>
                <c:pt idx="3">
                  <c:v>99.98</c:v>
                </c:pt>
                <c:pt idx="4">
                  <c:v>101.44</c:v>
                </c:pt>
                <c:pt idx="5">
                  <c:v>101.22</c:v>
                </c:pt>
                <c:pt idx="6">
                  <c:v>100.43</c:v>
                </c:pt>
                <c:pt idx="7">
                  <c:v>100.86</c:v>
                </c:pt>
                <c:pt idx="8">
                  <c:v>100.78247280932794</c:v>
                </c:pt>
                <c:pt idx="9">
                  <c:v>99.479593018502072</c:v>
                </c:pt>
                <c:pt idx="10">
                  <c:v>97.917039864415798</c:v>
                </c:pt>
                <c:pt idx="11">
                  <c:v>97.130686034081819</c:v>
                </c:pt>
                <c:pt idx="12">
                  <c:v>99.543769730829652</c:v>
                </c:pt>
                <c:pt idx="13">
                  <c:v>100.695574723771</c:v>
                </c:pt>
                <c:pt idx="14">
                  <c:v>98.227359035110084</c:v>
                </c:pt>
                <c:pt idx="15">
                  <c:v>98.979339232793706</c:v>
                </c:pt>
                <c:pt idx="16">
                  <c:v>98.248566098207817</c:v>
                </c:pt>
                <c:pt idx="17">
                  <c:v>98.897146553273799</c:v>
                </c:pt>
                <c:pt idx="18">
                  <c:v>99.321204943557007</c:v>
                </c:pt>
                <c:pt idx="19">
                  <c:v>98.569924508133496</c:v>
                </c:pt>
                <c:pt idx="20">
                  <c:v>101.46</c:v>
                </c:pt>
                <c:pt idx="21">
                  <c:v>101.33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D92D-4FF6-8CD2-241AB7CE849D}"/>
            </c:ext>
          </c:extLst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origine'!$B$1:$W$1</c:f>
              <c:numCache>
                <c:formatCode>mmm\-yy</c:formatCode>
                <c:ptCount val="22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</c:numCache>
            </c:numRef>
          </c:cat>
          <c:val>
            <c:numRef>
              <c:f>'Indice origine'!$B$3:$W$3</c:f>
              <c:numCache>
                <c:formatCode>0.0</c:formatCode>
                <c:ptCount val="22"/>
                <c:pt idx="0">
                  <c:v>103.87</c:v>
                </c:pt>
                <c:pt idx="1">
                  <c:v>103.62</c:v>
                </c:pt>
                <c:pt idx="2">
                  <c:v>104.86</c:v>
                </c:pt>
                <c:pt idx="3">
                  <c:v>105.26</c:v>
                </c:pt>
                <c:pt idx="4">
                  <c:v>106.02</c:v>
                </c:pt>
                <c:pt idx="5">
                  <c:v>103.68</c:v>
                </c:pt>
                <c:pt idx="6">
                  <c:v>103.36</c:v>
                </c:pt>
                <c:pt idx="7">
                  <c:v>101.45</c:v>
                </c:pt>
                <c:pt idx="8">
                  <c:v>100.13197928409996</c:v>
                </c:pt>
                <c:pt idx="9">
                  <c:v>101.3942262767326</c:v>
                </c:pt>
                <c:pt idx="10">
                  <c:v>101.70322620581607</c:v>
                </c:pt>
                <c:pt idx="11">
                  <c:v>102.71066290595473</c:v>
                </c:pt>
                <c:pt idx="12">
                  <c:v>103.29544434729699</c:v>
                </c:pt>
                <c:pt idx="13">
                  <c:v>100.74533533590966</c:v>
                </c:pt>
                <c:pt idx="14">
                  <c:v>102.84993994304715</c:v>
                </c:pt>
                <c:pt idx="15">
                  <c:v>101.20963517768314</c:v>
                </c:pt>
                <c:pt idx="16">
                  <c:v>103.76658167185008</c:v>
                </c:pt>
                <c:pt idx="17">
                  <c:v>100.80474672789994</c:v>
                </c:pt>
                <c:pt idx="18">
                  <c:v>102.18585845939411</c:v>
                </c:pt>
                <c:pt idx="19">
                  <c:v>100.72737867909467</c:v>
                </c:pt>
                <c:pt idx="20">
                  <c:v>99.75</c:v>
                </c:pt>
                <c:pt idx="21">
                  <c:v>100.81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D92D-4FF6-8CD2-241AB7CE84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9727104"/>
        <c:axId val="143721600"/>
      </c:lineChart>
      <c:dateAx>
        <c:axId val="129727104"/>
        <c:scaling>
          <c:orientation val="minMax"/>
        </c:scaling>
        <c:delete val="1"/>
        <c:axPos val="b"/>
        <c:numFmt formatCode="mmm\-yy" sourceLinked="0"/>
        <c:majorTickMark val="cross"/>
        <c:minorTickMark val="cross"/>
        <c:tickLblPos val="nextTo"/>
        <c:crossAx val="14372160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43721600"/>
        <c:scaling>
          <c:orientation val="minMax"/>
          <c:min val="95"/>
        </c:scaling>
        <c:delete val="1"/>
        <c:axPos val="l"/>
        <c:numFmt formatCode="0.0" sourceLinked="1"/>
        <c:majorTickMark val="cross"/>
        <c:minorTickMark val="cross"/>
        <c:tickLblPos val="nextTo"/>
        <c:crossAx val="12972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608"/>
          <c:y val="0.89583624963546227"/>
          <c:w val="0.34791732283464605"/>
          <c:h val="7.6389253426655035E-2"/>
        </c:manualLayout>
      </c:layout>
      <c:overlay val="1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1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1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2188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Eudes Ildevert CHOGNIKA</cp:lastModifiedBy>
  <cp:revision>2</cp:revision>
  <cp:lastPrinted>2019-11-15T15:42:00Z</cp:lastPrinted>
  <dcterms:created xsi:type="dcterms:W3CDTF">2019-11-20T09:07:00Z</dcterms:created>
  <dcterms:modified xsi:type="dcterms:W3CDTF">2019-11-20T09:07:00Z</dcterms:modified>
</cp:coreProperties>
</file>